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417" w14:textId="11C6507F" w:rsidR="00D81AC4" w:rsidRPr="00D176B2" w:rsidRDefault="00D81AC4" w:rsidP="00D81AC4">
      <w:pPr>
        <w:spacing w:after="0"/>
        <w:jc w:val="right"/>
        <w:rPr>
          <w:rFonts w:ascii="Calibri" w:hAnsi="Calibri" w:cs="Calibri"/>
          <w:b/>
          <w:lang w:val="pl-PL"/>
        </w:rPr>
      </w:pPr>
      <w:r w:rsidRPr="00D176B2">
        <w:rPr>
          <w:rFonts w:ascii="Calibri" w:hAnsi="Calibri" w:cs="Calibri"/>
          <w:b/>
          <w:lang w:val="pl-PL"/>
        </w:rPr>
        <w:t>….</w:t>
      </w:r>
    </w:p>
    <w:p w14:paraId="3B098280" w14:textId="6F3502D0" w:rsidR="00D81AC4" w:rsidRPr="00D176B2" w:rsidRDefault="00D81AC4" w:rsidP="00D81AC4">
      <w:pPr>
        <w:spacing w:after="0"/>
        <w:jc w:val="right"/>
        <w:rPr>
          <w:rFonts w:ascii="Calibri" w:hAnsi="Calibri" w:cs="Calibri"/>
          <w:b/>
          <w:lang w:val="pl-PL"/>
        </w:rPr>
      </w:pPr>
      <w:r w:rsidRPr="00D176B2">
        <w:rPr>
          <w:rFonts w:ascii="Calibri" w:hAnsi="Calibri" w:cs="Calibri"/>
          <w:b/>
          <w:lang w:val="pl-PL"/>
        </w:rPr>
        <w:t xml:space="preserve">(place, </w:t>
      </w:r>
      <w:proofErr w:type="spellStart"/>
      <w:r w:rsidRPr="00D176B2">
        <w:rPr>
          <w:rFonts w:ascii="Calibri" w:hAnsi="Calibri" w:cs="Calibri"/>
          <w:b/>
          <w:lang w:val="pl-PL"/>
        </w:rPr>
        <w:t>date</w:t>
      </w:r>
      <w:proofErr w:type="spellEnd"/>
      <w:r w:rsidRPr="00D176B2">
        <w:rPr>
          <w:rFonts w:ascii="Calibri" w:hAnsi="Calibri" w:cs="Calibri"/>
          <w:b/>
          <w:lang w:val="pl-PL"/>
        </w:rPr>
        <w:t>)</w:t>
      </w:r>
    </w:p>
    <w:p w14:paraId="26172BF3" w14:textId="72E91DE1" w:rsidR="00D81AC4" w:rsidRPr="00D176B2" w:rsidRDefault="00D81AC4" w:rsidP="00D81AC4">
      <w:pPr>
        <w:spacing w:after="0"/>
        <w:rPr>
          <w:rFonts w:ascii="Calibri" w:hAnsi="Calibri" w:cs="Calibri"/>
          <w:b/>
          <w:lang w:val="pl-PL"/>
        </w:rPr>
      </w:pPr>
      <w:r w:rsidRPr="00D176B2">
        <w:rPr>
          <w:rFonts w:ascii="Calibri" w:hAnsi="Calibri" w:cs="Calibri"/>
          <w:b/>
          <w:lang w:val="pl-PL"/>
        </w:rPr>
        <w:t xml:space="preserve">… </w:t>
      </w:r>
    </w:p>
    <w:p w14:paraId="756DFDF6" w14:textId="4EF62156" w:rsidR="00D81AC4" w:rsidRPr="00D81AC4" w:rsidRDefault="00D81AC4" w:rsidP="00D81AC4">
      <w:pPr>
        <w:spacing w:after="0"/>
        <w:rPr>
          <w:rFonts w:ascii="Calibri" w:hAnsi="Calibri" w:cs="Calibri"/>
          <w:b/>
          <w:lang w:val="pl-PL"/>
        </w:rPr>
      </w:pPr>
      <w:r w:rsidRPr="00D81AC4">
        <w:rPr>
          <w:rFonts w:ascii="Calibri" w:hAnsi="Calibri" w:cs="Calibri"/>
          <w:b/>
          <w:lang w:val="pl-PL"/>
        </w:rPr>
        <w:t>(</w:t>
      </w:r>
      <w:proofErr w:type="spellStart"/>
      <w:r w:rsidRPr="00D81AC4">
        <w:rPr>
          <w:rFonts w:ascii="Calibri" w:hAnsi="Calibri" w:cs="Calibri"/>
          <w:b/>
          <w:lang w:val="pl-PL"/>
        </w:rPr>
        <w:t>sender</w:t>
      </w:r>
      <w:proofErr w:type="spellEnd"/>
      <w:r w:rsidRPr="00D81AC4">
        <w:rPr>
          <w:rFonts w:ascii="Calibri" w:hAnsi="Calibri" w:cs="Calibri"/>
          <w:b/>
          <w:lang w:val="pl-PL"/>
        </w:rPr>
        <w:t>)</w:t>
      </w:r>
    </w:p>
    <w:p w14:paraId="61FDDA20" w14:textId="77777777" w:rsidR="00D81AC4" w:rsidRPr="00D81AC4" w:rsidRDefault="00D81AC4" w:rsidP="00D81AC4">
      <w:pPr>
        <w:tabs>
          <w:tab w:val="left" w:pos="385"/>
        </w:tabs>
        <w:spacing w:after="0"/>
        <w:ind w:left="4820" w:right="-2"/>
        <w:rPr>
          <w:rFonts w:ascii="Calibri" w:hAnsi="Calibri" w:cs="Calibri"/>
          <w:u w:val="single"/>
          <w:lang w:val="pl-PL"/>
        </w:rPr>
      </w:pPr>
    </w:p>
    <w:p w14:paraId="62A5D716" w14:textId="77777777" w:rsidR="00D81AC4" w:rsidRPr="00D81AC4" w:rsidRDefault="00D81AC4" w:rsidP="00D81AC4">
      <w:pPr>
        <w:tabs>
          <w:tab w:val="left" w:pos="385"/>
        </w:tabs>
        <w:spacing w:after="0"/>
        <w:ind w:left="4820" w:right="-2" w:hanging="1985"/>
        <w:rPr>
          <w:rFonts w:ascii="Calibri" w:hAnsi="Calibri" w:cs="Calibri"/>
          <w:b/>
          <w:lang w:val="pl-PL"/>
        </w:rPr>
      </w:pPr>
      <w:r w:rsidRPr="00D81AC4">
        <w:rPr>
          <w:rFonts w:ascii="Calibri" w:hAnsi="Calibri" w:cs="Calibri"/>
          <w:b/>
          <w:lang w:val="pl-PL"/>
        </w:rPr>
        <w:t>PREZES URZĘDU REGULACJI ENERGETYKI</w:t>
      </w:r>
    </w:p>
    <w:p w14:paraId="0F39628D" w14:textId="77777777" w:rsidR="00D81AC4" w:rsidRPr="00D176B2" w:rsidRDefault="00D81AC4" w:rsidP="00D81AC4">
      <w:pPr>
        <w:tabs>
          <w:tab w:val="left" w:pos="385"/>
        </w:tabs>
        <w:spacing w:after="0"/>
        <w:ind w:left="3402" w:right="-2" w:hanging="567"/>
        <w:rPr>
          <w:rFonts w:ascii="Calibri" w:hAnsi="Calibri" w:cs="Calibri"/>
          <w:b/>
          <w:lang w:val="en-US"/>
        </w:rPr>
      </w:pPr>
      <w:r w:rsidRPr="00D176B2">
        <w:rPr>
          <w:rFonts w:ascii="Calibri" w:hAnsi="Calibri" w:cs="Calibri"/>
          <w:b/>
          <w:lang w:val="en-US"/>
        </w:rPr>
        <w:t xml:space="preserve">PRESIDENT OF THE ENERGY REGULATORY OFFICE </w:t>
      </w:r>
    </w:p>
    <w:p w14:paraId="278682DB" w14:textId="77777777" w:rsidR="00D81AC4" w:rsidRPr="00D81AC4" w:rsidRDefault="00D81AC4" w:rsidP="00D81AC4">
      <w:pPr>
        <w:tabs>
          <w:tab w:val="left" w:pos="385"/>
        </w:tabs>
        <w:spacing w:after="0"/>
        <w:ind w:left="2977" w:right="-2" w:hanging="141"/>
        <w:rPr>
          <w:rFonts w:ascii="Calibri" w:hAnsi="Calibri" w:cs="Calibri"/>
          <w:b/>
          <w:lang w:val="pl-PL"/>
        </w:rPr>
      </w:pPr>
      <w:r w:rsidRPr="00D81AC4">
        <w:rPr>
          <w:rFonts w:ascii="Calibri" w:hAnsi="Calibri" w:cs="Calibri"/>
          <w:lang w:val="pl-PL"/>
        </w:rPr>
        <w:t xml:space="preserve">Departament Rozwoju Rynków i Spraw Konsumenckich </w:t>
      </w:r>
    </w:p>
    <w:p w14:paraId="6E56D7E8" w14:textId="77777777" w:rsidR="00D81AC4" w:rsidRPr="00D81AC4" w:rsidRDefault="00D81AC4" w:rsidP="00D81AC4">
      <w:pPr>
        <w:tabs>
          <w:tab w:val="left" w:pos="385"/>
        </w:tabs>
        <w:spacing w:after="0"/>
        <w:ind w:left="3402" w:right="-2" w:hanging="567"/>
        <w:rPr>
          <w:rFonts w:ascii="Calibri" w:hAnsi="Calibri" w:cs="Calibri"/>
          <w:b/>
          <w:lang w:val="en-US"/>
        </w:rPr>
      </w:pPr>
      <w:r w:rsidRPr="00D81AC4">
        <w:rPr>
          <w:rFonts w:ascii="Calibri" w:hAnsi="Calibri" w:cs="Calibri"/>
          <w:lang w:val="en-US"/>
        </w:rPr>
        <w:t>Department of Market Development and Consumer Affairs</w:t>
      </w:r>
    </w:p>
    <w:p w14:paraId="14A5E302" w14:textId="77777777" w:rsidR="00D81AC4" w:rsidRPr="00D81AC4" w:rsidRDefault="00D81AC4" w:rsidP="00D81AC4">
      <w:pPr>
        <w:tabs>
          <w:tab w:val="left" w:pos="385"/>
        </w:tabs>
        <w:spacing w:after="0"/>
        <w:ind w:left="3402" w:right="-2" w:hanging="567"/>
        <w:rPr>
          <w:rFonts w:ascii="Calibri" w:hAnsi="Calibri" w:cs="Calibri"/>
          <w:b/>
          <w:lang w:val="pl-PL"/>
        </w:rPr>
      </w:pPr>
      <w:r w:rsidRPr="00D81AC4">
        <w:rPr>
          <w:rFonts w:ascii="Calibri" w:hAnsi="Calibri" w:cs="Calibri"/>
          <w:lang w:val="pl-PL"/>
        </w:rPr>
        <w:t xml:space="preserve">ul. Towarowa 25A, 00-869 Warszawa </w:t>
      </w:r>
    </w:p>
    <w:p w14:paraId="3B0283CA" w14:textId="77777777" w:rsidR="00D81AC4" w:rsidRPr="00D81AC4" w:rsidRDefault="00D81AC4" w:rsidP="00D81AC4">
      <w:pPr>
        <w:tabs>
          <w:tab w:val="left" w:pos="385"/>
        </w:tabs>
        <w:spacing w:after="0"/>
        <w:ind w:right="-2"/>
        <w:rPr>
          <w:rFonts w:ascii="Calibri" w:hAnsi="Calibri" w:cs="Calibri"/>
          <w:lang w:val="pl-PL"/>
        </w:rPr>
      </w:pPr>
    </w:p>
    <w:p w14:paraId="6A86C1D5" w14:textId="77777777" w:rsidR="00D81AC4" w:rsidRPr="00D81AC4" w:rsidRDefault="00D81AC4" w:rsidP="00D81AC4">
      <w:pPr>
        <w:tabs>
          <w:tab w:val="left" w:pos="385"/>
        </w:tabs>
        <w:spacing w:after="0"/>
        <w:ind w:right="-2"/>
        <w:rPr>
          <w:rFonts w:ascii="Calibri" w:hAnsi="Calibri" w:cs="Calibri"/>
          <w:b/>
          <w:bCs/>
          <w:lang w:val="pl-PL"/>
        </w:rPr>
      </w:pPr>
      <w:r w:rsidRPr="00D81AC4">
        <w:rPr>
          <w:rFonts w:ascii="Calibri" w:hAnsi="Calibri" w:cs="Calibri"/>
          <w:b/>
          <w:bCs/>
          <w:lang w:val="pl-PL"/>
        </w:rPr>
        <w:t>DRR.WAR.464.7.2024.AD</w:t>
      </w:r>
    </w:p>
    <w:p w14:paraId="4EC70655" w14:textId="77777777" w:rsidR="00D81AC4" w:rsidRPr="00D81AC4" w:rsidRDefault="00D81AC4" w:rsidP="00D81AC4">
      <w:pPr>
        <w:tabs>
          <w:tab w:val="left" w:pos="385"/>
        </w:tabs>
        <w:spacing w:after="0"/>
        <w:ind w:right="-2"/>
        <w:rPr>
          <w:rFonts w:ascii="Calibri" w:hAnsi="Calibri" w:cs="Calibri"/>
          <w:lang w:val="pl-PL"/>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81AC4" w:rsidRPr="00D176B2" w14:paraId="24367BC1" w14:textId="77777777" w:rsidTr="00D81AC4">
        <w:tc>
          <w:tcPr>
            <w:tcW w:w="2500" w:type="pct"/>
          </w:tcPr>
          <w:p w14:paraId="444AD1AE" w14:textId="77777777" w:rsidR="00D81AC4" w:rsidRPr="00D81AC4" w:rsidRDefault="00D81AC4" w:rsidP="00BB470D">
            <w:pPr>
              <w:spacing w:after="100" w:afterAutospacing="1"/>
              <w:contextualSpacing/>
              <w:jc w:val="center"/>
              <w:rPr>
                <w:rFonts w:ascii="Calibri" w:hAnsi="Calibri" w:cs="Calibri"/>
                <w:b/>
                <w:lang w:val="pl-PL"/>
              </w:rPr>
            </w:pPr>
            <w:r w:rsidRPr="00D81AC4">
              <w:rPr>
                <w:rFonts w:ascii="Calibri" w:hAnsi="Calibri" w:cs="Calibri"/>
                <w:b/>
                <w:lang w:val="pl-PL"/>
              </w:rPr>
              <w:t xml:space="preserve">ODPOWIEDŹ </w:t>
            </w:r>
          </w:p>
          <w:p w14:paraId="055AE225" w14:textId="77777777" w:rsidR="00D81AC4" w:rsidRPr="00D81AC4" w:rsidRDefault="00D81AC4" w:rsidP="00BB470D">
            <w:pPr>
              <w:spacing w:after="100" w:afterAutospacing="1"/>
              <w:contextualSpacing/>
              <w:jc w:val="center"/>
              <w:rPr>
                <w:rFonts w:ascii="Calibri" w:hAnsi="Calibri" w:cs="Calibri"/>
                <w:lang w:val="pl-PL"/>
              </w:rPr>
            </w:pPr>
            <w:r w:rsidRPr="00D81AC4">
              <w:rPr>
                <w:rFonts w:ascii="Calibri" w:hAnsi="Calibri" w:cs="Calibri"/>
                <w:b/>
                <w:lang w:val="pl-PL"/>
              </w:rPr>
              <w:t>NA WEZWANIE PREZESA URE</w:t>
            </w:r>
          </w:p>
        </w:tc>
        <w:tc>
          <w:tcPr>
            <w:tcW w:w="2500" w:type="pct"/>
          </w:tcPr>
          <w:p w14:paraId="0AA2686E" w14:textId="77777777" w:rsidR="00D81AC4" w:rsidRPr="00D81AC4" w:rsidRDefault="00D81AC4" w:rsidP="00BB470D">
            <w:pPr>
              <w:spacing w:after="100" w:afterAutospacing="1"/>
              <w:contextualSpacing/>
              <w:jc w:val="center"/>
              <w:rPr>
                <w:rFonts w:ascii="Calibri" w:hAnsi="Calibri" w:cs="Calibri"/>
                <w:b/>
                <w:lang w:val="en-US"/>
              </w:rPr>
            </w:pPr>
            <w:r w:rsidRPr="00D81AC4">
              <w:rPr>
                <w:rFonts w:ascii="Calibri" w:hAnsi="Calibri" w:cs="Calibri"/>
                <w:b/>
                <w:lang w:val="en-US"/>
              </w:rPr>
              <w:t xml:space="preserve">RESPONSE TO THE REQUEST </w:t>
            </w:r>
          </w:p>
          <w:p w14:paraId="138D0647" w14:textId="77777777" w:rsidR="00D81AC4" w:rsidRPr="00D81AC4" w:rsidRDefault="00D81AC4" w:rsidP="00BB470D">
            <w:pPr>
              <w:spacing w:after="100" w:afterAutospacing="1"/>
              <w:contextualSpacing/>
              <w:jc w:val="center"/>
              <w:rPr>
                <w:rFonts w:ascii="Calibri" w:hAnsi="Calibri" w:cs="Calibri"/>
                <w:b/>
                <w:lang w:val="en-US"/>
              </w:rPr>
            </w:pPr>
            <w:r w:rsidRPr="00D81AC4">
              <w:rPr>
                <w:rFonts w:ascii="Calibri" w:hAnsi="Calibri" w:cs="Calibri"/>
                <w:b/>
                <w:lang w:val="en-US"/>
              </w:rPr>
              <w:t>OF THE PRESIDENT OF ERO</w:t>
            </w:r>
          </w:p>
        </w:tc>
      </w:tr>
      <w:tr w:rsidR="00D81AC4" w:rsidRPr="00D176B2" w14:paraId="145EF433" w14:textId="77777777" w:rsidTr="00D81AC4">
        <w:tc>
          <w:tcPr>
            <w:tcW w:w="2500" w:type="pct"/>
          </w:tcPr>
          <w:p w14:paraId="59366A29" w14:textId="77777777" w:rsidR="00D81AC4" w:rsidRPr="00D81AC4" w:rsidRDefault="00D81AC4" w:rsidP="00BB470D">
            <w:pPr>
              <w:spacing w:after="100" w:afterAutospacing="1"/>
              <w:contextualSpacing/>
              <w:rPr>
                <w:rFonts w:ascii="Calibri" w:hAnsi="Calibri" w:cs="Calibri"/>
                <w:lang w:val="en-US"/>
              </w:rPr>
            </w:pPr>
          </w:p>
        </w:tc>
        <w:tc>
          <w:tcPr>
            <w:tcW w:w="2500" w:type="pct"/>
          </w:tcPr>
          <w:p w14:paraId="179398F0" w14:textId="77777777" w:rsidR="00D81AC4" w:rsidRPr="00D81AC4" w:rsidRDefault="00D81AC4" w:rsidP="00BB470D">
            <w:pPr>
              <w:spacing w:after="100" w:afterAutospacing="1"/>
              <w:contextualSpacing/>
              <w:rPr>
                <w:rFonts w:ascii="Calibri" w:hAnsi="Calibri" w:cs="Calibri"/>
                <w:lang w:val="en-US"/>
              </w:rPr>
            </w:pPr>
          </w:p>
        </w:tc>
      </w:tr>
      <w:tr w:rsidR="00D81AC4" w:rsidRPr="00D176B2" w14:paraId="2AFBC85F" w14:textId="77777777" w:rsidTr="00D81AC4">
        <w:tc>
          <w:tcPr>
            <w:tcW w:w="2500" w:type="pct"/>
          </w:tcPr>
          <w:p w14:paraId="19CB072C" w14:textId="12B81FA5" w:rsidR="00D81AC4" w:rsidRPr="00D81AC4" w:rsidRDefault="00D81AC4" w:rsidP="00BB470D">
            <w:pPr>
              <w:spacing w:after="100" w:afterAutospacing="1"/>
              <w:contextualSpacing/>
              <w:jc w:val="both"/>
              <w:rPr>
                <w:rFonts w:ascii="Calibri" w:hAnsi="Calibri" w:cs="Calibri"/>
                <w:bCs/>
                <w:lang w:val="pl-PL"/>
              </w:rPr>
            </w:pPr>
            <w:r w:rsidRPr="00D81AC4">
              <w:rPr>
                <w:rFonts w:ascii="Calibri" w:hAnsi="Calibri" w:cs="Calibri"/>
                <w:lang w:val="pl-PL"/>
              </w:rPr>
              <w:t xml:space="preserve">Działając w imieniu </w:t>
            </w:r>
            <w:r w:rsidRPr="00D81AC4">
              <w:rPr>
                <w:rFonts w:ascii="Calibri" w:hAnsi="Calibri" w:cs="Calibri"/>
                <w:b/>
                <w:lang w:val="pl-PL"/>
              </w:rPr>
              <w:t xml:space="preserve">… </w:t>
            </w:r>
            <w:r w:rsidRPr="00D81AC4">
              <w:rPr>
                <w:rFonts w:ascii="Calibri" w:hAnsi="Calibri" w:cs="Calibri"/>
                <w:bCs/>
                <w:lang w:val="pl-PL"/>
              </w:rPr>
              <w:t>(„</w:t>
            </w:r>
            <w:r w:rsidRPr="00D81AC4">
              <w:rPr>
                <w:rFonts w:ascii="Calibri" w:hAnsi="Calibri" w:cs="Calibri"/>
                <w:b/>
                <w:lang w:val="pl-PL"/>
              </w:rPr>
              <w:t>Spółka</w:t>
            </w:r>
            <w:r w:rsidRPr="00D81AC4">
              <w:rPr>
                <w:rFonts w:ascii="Calibri" w:hAnsi="Calibri" w:cs="Calibri"/>
                <w:bCs/>
                <w:lang w:val="pl-PL"/>
              </w:rPr>
              <w:t>”)</w:t>
            </w:r>
            <w:r w:rsidRPr="00D81AC4">
              <w:rPr>
                <w:rFonts w:ascii="Calibri" w:hAnsi="Calibri" w:cs="Calibri"/>
                <w:b/>
                <w:lang w:val="pl-PL"/>
              </w:rPr>
              <w:t xml:space="preserve">, </w:t>
            </w:r>
            <w:r w:rsidRPr="00D81AC4">
              <w:rPr>
                <w:rFonts w:ascii="Calibri" w:hAnsi="Calibri" w:cs="Calibri"/>
                <w:bCs/>
                <w:lang w:val="pl-PL"/>
              </w:rPr>
              <w:t xml:space="preserve">w odpowiedzi na wezwanie z dnia 15 stycznia 2024 r., doręczone w dniu </w:t>
            </w:r>
            <w:r w:rsidR="00D176B2">
              <w:rPr>
                <w:rFonts w:ascii="Calibri" w:hAnsi="Calibri" w:cs="Calibri"/>
                <w:bCs/>
                <w:lang w:val="pl-PL"/>
              </w:rPr>
              <w:t xml:space="preserve">… 2024 </w:t>
            </w:r>
            <w:r w:rsidRPr="00D81AC4">
              <w:rPr>
                <w:rFonts w:ascii="Calibri" w:hAnsi="Calibri" w:cs="Calibri"/>
                <w:bCs/>
                <w:lang w:val="pl-PL"/>
              </w:rPr>
              <w:t>r., niniejszym informujemy, że:</w:t>
            </w:r>
          </w:p>
        </w:tc>
        <w:tc>
          <w:tcPr>
            <w:tcW w:w="2500" w:type="pct"/>
          </w:tcPr>
          <w:p w14:paraId="1CDED0C5" w14:textId="34C5D1C6" w:rsidR="00D81AC4" w:rsidRPr="00D81AC4" w:rsidRDefault="00D81AC4" w:rsidP="00BB470D">
            <w:pPr>
              <w:tabs>
                <w:tab w:val="left" w:pos="385"/>
              </w:tabs>
              <w:ind w:right="-2"/>
              <w:jc w:val="both"/>
              <w:rPr>
                <w:rFonts w:ascii="Calibri" w:hAnsi="Calibri" w:cs="Calibri"/>
                <w:lang w:val="en-US"/>
              </w:rPr>
            </w:pPr>
            <w:r w:rsidRPr="00D81AC4">
              <w:rPr>
                <w:rFonts w:ascii="Calibri" w:hAnsi="Calibri" w:cs="Calibri"/>
                <w:lang w:val="en-US"/>
              </w:rPr>
              <w:t xml:space="preserve">Acting on behalf  of </w:t>
            </w:r>
            <w:r w:rsidRPr="00D81AC4">
              <w:rPr>
                <w:rFonts w:ascii="Calibri" w:hAnsi="Calibri" w:cs="Calibri"/>
                <w:b/>
                <w:lang w:val="en-US"/>
              </w:rPr>
              <w:t xml:space="preserve">… </w:t>
            </w:r>
            <w:r w:rsidRPr="00D81AC4">
              <w:rPr>
                <w:rFonts w:ascii="Calibri" w:hAnsi="Calibri" w:cs="Calibri"/>
                <w:bCs/>
                <w:lang w:val="en-US"/>
              </w:rPr>
              <w:t>(the </w:t>
            </w:r>
            <w:r w:rsidRPr="00D81AC4">
              <w:rPr>
                <w:rFonts w:ascii="Calibri" w:hAnsi="Calibri" w:cs="Calibri"/>
                <w:b/>
                <w:lang w:val="en-US"/>
              </w:rPr>
              <w:t>’Company</w:t>
            </w:r>
            <w:r w:rsidRPr="00D81AC4">
              <w:rPr>
                <w:rFonts w:ascii="Calibri" w:hAnsi="Calibri" w:cs="Calibri"/>
                <w:bCs/>
                <w:lang w:val="en-US"/>
              </w:rPr>
              <w:t>’),</w:t>
            </w:r>
            <w:r w:rsidRPr="00D81AC4">
              <w:rPr>
                <w:rFonts w:ascii="Calibri" w:hAnsi="Calibri" w:cs="Calibri"/>
                <w:b/>
                <w:lang w:val="en-US"/>
              </w:rPr>
              <w:t xml:space="preserve"> </w:t>
            </w:r>
            <w:r w:rsidRPr="00D81AC4">
              <w:rPr>
                <w:rFonts w:ascii="Calibri" w:hAnsi="Calibri" w:cs="Calibri"/>
                <w:bCs/>
                <w:lang w:val="en-US"/>
              </w:rPr>
              <w:t xml:space="preserve">in response to the summons dated January 15, 2024, served on </w:t>
            </w:r>
            <w:r w:rsidR="00D176B2">
              <w:rPr>
                <w:rFonts w:ascii="Calibri" w:hAnsi="Calibri" w:cs="Calibri"/>
                <w:bCs/>
                <w:lang w:val="en-US"/>
              </w:rPr>
              <w:t>…</w:t>
            </w:r>
            <w:r w:rsidRPr="00D81AC4">
              <w:rPr>
                <w:rFonts w:ascii="Calibri" w:hAnsi="Calibri" w:cs="Calibri"/>
                <w:bCs/>
                <w:lang w:val="en-US"/>
              </w:rPr>
              <w:t>, 2024, hereby:</w:t>
            </w:r>
          </w:p>
        </w:tc>
      </w:tr>
      <w:tr w:rsidR="00D81AC4" w:rsidRPr="00D176B2" w14:paraId="7C8AEEFD" w14:textId="77777777" w:rsidTr="00D81AC4">
        <w:tc>
          <w:tcPr>
            <w:tcW w:w="2500" w:type="pct"/>
          </w:tcPr>
          <w:p w14:paraId="18429DD6" w14:textId="77777777" w:rsidR="00D81AC4" w:rsidRPr="00D81AC4" w:rsidRDefault="00D81AC4" w:rsidP="00BB470D">
            <w:pPr>
              <w:spacing w:after="100" w:afterAutospacing="1"/>
              <w:contextualSpacing/>
              <w:jc w:val="both"/>
              <w:rPr>
                <w:rFonts w:ascii="Calibri" w:hAnsi="Calibri" w:cs="Calibri"/>
                <w:lang w:val="en-US"/>
              </w:rPr>
            </w:pPr>
          </w:p>
        </w:tc>
        <w:tc>
          <w:tcPr>
            <w:tcW w:w="2500" w:type="pct"/>
          </w:tcPr>
          <w:p w14:paraId="4EADCC7E" w14:textId="77777777" w:rsidR="00D81AC4" w:rsidRPr="00D81AC4" w:rsidRDefault="00D81AC4" w:rsidP="00BB470D">
            <w:pPr>
              <w:tabs>
                <w:tab w:val="left" w:pos="385"/>
              </w:tabs>
              <w:ind w:right="-2"/>
              <w:jc w:val="both"/>
              <w:rPr>
                <w:rFonts w:ascii="Calibri" w:hAnsi="Calibri" w:cs="Calibri"/>
                <w:lang w:val="en-US"/>
              </w:rPr>
            </w:pPr>
          </w:p>
        </w:tc>
      </w:tr>
      <w:tr w:rsidR="00D81AC4" w:rsidRPr="00D176B2" w14:paraId="54C498BF" w14:textId="77777777" w:rsidTr="00D81AC4">
        <w:trPr>
          <w:trHeight w:val="1053"/>
        </w:trPr>
        <w:tc>
          <w:tcPr>
            <w:tcW w:w="2500" w:type="pct"/>
          </w:tcPr>
          <w:p w14:paraId="78FF4B5B" w14:textId="77777777" w:rsidR="00D81AC4" w:rsidRPr="00D81AC4" w:rsidRDefault="00D81AC4" w:rsidP="00D81AC4">
            <w:pPr>
              <w:pStyle w:val="Akapitzlist"/>
              <w:numPr>
                <w:ilvl w:val="0"/>
                <w:numId w:val="1"/>
              </w:numPr>
              <w:spacing w:after="0" w:line="240" w:lineRule="auto"/>
              <w:ind w:left="449"/>
              <w:jc w:val="both"/>
              <w:rPr>
                <w:rFonts w:ascii="Calibri" w:hAnsi="Calibri" w:cs="Calibri"/>
                <w:lang w:val="pl-PL"/>
              </w:rPr>
            </w:pPr>
            <w:r w:rsidRPr="00D81AC4">
              <w:rPr>
                <w:rFonts w:ascii="Calibri" w:hAnsi="Calibri" w:cs="Calibri"/>
                <w:lang w:val="pl-PL"/>
              </w:rPr>
              <w:t xml:space="preserve">Działalność gospodarcza Spółki w zakresie koncesji udzielonej przez Prezesa URE ogranicza się wyłącznie do hurtowego obrotu energią elektryczną na rynku giełdowym, zgodnie z wnioskiem koncesyjnym. </w:t>
            </w:r>
          </w:p>
        </w:tc>
        <w:tc>
          <w:tcPr>
            <w:tcW w:w="2500" w:type="pct"/>
          </w:tcPr>
          <w:p w14:paraId="74FACE2D" w14:textId="77777777" w:rsidR="00D81AC4" w:rsidRPr="00D81AC4" w:rsidRDefault="00D81AC4" w:rsidP="00D81AC4">
            <w:pPr>
              <w:pStyle w:val="Akapitzlist"/>
              <w:numPr>
                <w:ilvl w:val="0"/>
                <w:numId w:val="3"/>
              </w:numPr>
              <w:spacing w:after="0" w:line="240" w:lineRule="auto"/>
              <w:ind w:left="251" w:hanging="284"/>
              <w:jc w:val="both"/>
              <w:rPr>
                <w:rFonts w:ascii="Calibri" w:hAnsi="Calibri" w:cs="Calibri"/>
                <w:lang w:val="en-US"/>
              </w:rPr>
            </w:pPr>
            <w:r w:rsidRPr="00D81AC4">
              <w:rPr>
                <w:rFonts w:ascii="Calibri" w:hAnsi="Calibri" w:cs="Calibri"/>
                <w:lang w:val="en-US"/>
              </w:rPr>
              <w:t>The Company's business activity within the scope of the concession granted by the President of ERO is limited only to wholesale trading in electricity on the exchange market, in accordance with the license application.</w:t>
            </w:r>
          </w:p>
        </w:tc>
      </w:tr>
      <w:tr w:rsidR="00D81AC4" w:rsidRPr="00D176B2" w14:paraId="45413F9A" w14:textId="77777777" w:rsidTr="00D81AC4">
        <w:trPr>
          <w:trHeight w:val="53"/>
        </w:trPr>
        <w:tc>
          <w:tcPr>
            <w:tcW w:w="2500" w:type="pct"/>
          </w:tcPr>
          <w:p w14:paraId="1524AFBB" w14:textId="77777777" w:rsidR="00D81AC4" w:rsidRPr="00D81AC4" w:rsidRDefault="00D81AC4" w:rsidP="00BB470D">
            <w:pPr>
              <w:jc w:val="both"/>
              <w:rPr>
                <w:rFonts w:ascii="Calibri" w:hAnsi="Calibri" w:cs="Calibri"/>
                <w:lang w:val="en-US"/>
              </w:rPr>
            </w:pPr>
          </w:p>
        </w:tc>
        <w:tc>
          <w:tcPr>
            <w:tcW w:w="2500" w:type="pct"/>
          </w:tcPr>
          <w:p w14:paraId="3B765254" w14:textId="77777777" w:rsidR="00D81AC4" w:rsidRPr="00D81AC4" w:rsidRDefault="00D81AC4" w:rsidP="00BB470D">
            <w:pPr>
              <w:spacing w:after="100" w:afterAutospacing="1"/>
              <w:jc w:val="both"/>
              <w:rPr>
                <w:rFonts w:ascii="Calibri" w:hAnsi="Calibri" w:cs="Calibri"/>
                <w:lang w:val="en-US"/>
              </w:rPr>
            </w:pPr>
          </w:p>
        </w:tc>
      </w:tr>
      <w:tr w:rsidR="00D81AC4" w:rsidRPr="00D176B2" w14:paraId="69E965A5" w14:textId="77777777" w:rsidTr="00D81AC4">
        <w:trPr>
          <w:trHeight w:val="53"/>
        </w:trPr>
        <w:tc>
          <w:tcPr>
            <w:tcW w:w="2500" w:type="pct"/>
          </w:tcPr>
          <w:p w14:paraId="7331BDAD" w14:textId="77777777" w:rsidR="00D81AC4" w:rsidRPr="00D81AC4" w:rsidRDefault="00D81AC4" w:rsidP="00D81AC4">
            <w:pPr>
              <w:pStyle w:val="Akapitzlist"/>
              <w:numPr>
                <w:ilvl w:val="0"/>
                <w:numId w:val="1"/>
              </w:numPr>
              <w:spacing w:after="0" w:line="240" w:lineRule="auto"/>
              <w:ind w:left="449"/>
              <w:jc w:val="both"/>
              <w:rPr>
                <w:rFonts w:ascii="Calibri" w:hAnsi="Calibri" w:cs="Calibri"/>
                <w:lang w:val="pl-PL"/>
              </w:rPr>
            </w:pPr>
            <w:r w:rsidRPr="00D81AC4">
              <w:rPr>
                <w:rFonts w:ascii="Calibri" w:hAnsi="Calibri" w:cs="Calibri"/>
                <w:lang w:val="pl-PL"/>
              </w:rPr>
              <w:t>Spółka nie realizuje procesów na detalicznym rynku energii elektrycznej.</w:t>
            </w:r>
          </w:p>
        </w:tc>
        <w:tc>
          <w:tcPr>
            <w:tcW w:w="2500" w:type="pct"/>
          </w:tcPr>
          <w:p w14:paraId="564681AB" w14:textId="77777777" w:rsidR="00D81AC4" w:rsidRPr="00D81AC4" w:rsidRDefault="00D81AC4" w:rsidP="00D81AC4">
            <w:pPr>
              <w:pStyle w:val="Akapitzlist"/>
              <w:numPr>
                <w:ilvl w:val="0"/>
                <w:numId w:val="3"/>
              </w:numPr>
              <w:spacing w:after="0" w:line="240" w:lineRule="auto"/>
              <w:ind w:left="251" w:hanging="284"/>
              <w:jc w:val="both"/>
              <w:rPr>
                <w:rFonts w:ascii="Calibri" w:hAnsi="Calibri" w:cs="Calibri"/>
                <w:lang w:val="en-US"/>
              </w:rPr>
            </w:pPr>
            <w:r w:rsidRPr="00D81AC4">
              <w:rPr>
                <w:rFonts w:ascii="Calibri" w:hAnsi="Calibri" w:cs="Calibri"/>
                <w:lang w:val="en-US"/>
              </w:rPr>
              <w:t>The Company does not perform processes on the retail electricity market.</w:t>
            </w:r>
          </w:p>
        </w:tc>
      </w:tr>
      <w:tr w:rsidR="00D81AC4" w:rsidRPr="00D176B2" w14:paraId="6EDB8625" w14:textId="77777777" w:rsidTr="00D81AC4">
        <w:tc>
          <w:tcPr>
            <w:tcW w:w="2500" w:type="pct"/>
          </w:tcPr>
          <w:p w14:paraId="39ED53B1" w14:textId="77777777" w:rsidR="00D81AC4" w:rsidRPr="00D81AC4" w:rsidRDefault="00D81AC4" w:rsidP="00BB470D">
            <w:pPr>
              <w:jc w:val="both"/>
              <w:rPr>
                <w:rFonts w:ascii="Calibri" w:hAnsi="Calibri" w:cs="Calibri"/>
                <w:lang w:val="en-US"/>
              </w:rPr>
            </w:pPr>
          </w:p>
        </w:tc>
        <w:tc>
          <w:tcPr>
            <w:tcW w:w="2500" w:type="pct"/>
          </w:tcPr>
          <w:p w14:paraId="60B08497" w14:textId="77777777" w:rsidR="00D81AC4" w:rsidRPr="00D81AC4" w:rsidRDefault="00D81AC4" w:rsidP="00BB470D">
            <w:pPr>
              <w:jc w:val="both"/>
              <w:rPr>
                <w:rFonts w:ascii="Calibri" w:hAnsi="Calibri" w:cs="Calibri"/>
                <w:lang w:val="en-US"/>
              </w:rPr>
            </w:pPr>
          </w:p>
        </w:tc>
      </w:tr>
      <w:tr w:rsidR="00D81AC4" w:rsidRPr="00D176B2" w14:paraId="0BF8647E" w14:textId="77777777" w:rsidTr="00D81AC4">
        <w:tc>
          <w:tcPr>
            <w:tcW w:w="2500" w:type="pct"/>
          </w:tcPr>
          <w:p w14:paraId="76B62BDB" w14:textId="77777777" w:rsidR="00D81AC4" w:rsidRPr="00D81AC4" w:rsidRDefault="00D81AC4" w:rsidP="00D81AC4">
            <w:pPr>
              <w:pStyle w:val="Akapitzlist"/>
              <w:numPr>
                <w:ilvl w:val="0"/>
                <w:numId w:val="1"/>
              </w:numPr>
              <w:spacing w:after="0" w:line="240" w:lineRule="auto"/>
              <w:ind w:left="449"/>
              <w:jc w:val="both"/>
              <w:rPr>
                <w:rFonts w:ascii="Calibri" w:hAnsi="Calibri" w:cs="Calibri"/>
                <w:lang w:val="pl-PL"/>
              </w:rPr>
            </w:pPr>
            <w:r w:rsidRPr="00D81AC4">
              <w:rPr>
                <w:rFonts w:ascii="Calibri" w:hAnsi="Calibri" w:cs="Calibri"/>
                <w:lang w:val="pl-PL"/>
              </w:rPr>
              <w:t>Spółka nie jest sprzedawcą energii elektrycznej do odbiorców końcowych,  zatem nie dysponuje danymi dotyczącymi punktów poboru energii, jak również nie jest stroną umów sprzedaży energii elektrycznej do odbiorców końcowych. Wobec powyższego, z przyczyn faktycznych, Spółka nie jest w stanie wykonać dyspozycji art. 20 ust. 1 ustawy z dnia 20 maja 2021 r.</w:t>
            </w:r>
            <w:r w:rsidRPr="00D81AC4">
              <w:rPr>
                <w:rStyle w:val="Odwoanieprzypisudolnego"/>
                <w:rFonts w:ascii="Calibri" w:hAnsi="Calibri" w:cs="Calibri"/>
                <w:lang w:val="pl-PL"/>
              </w:rPr>
              <w:footnoteReference w:id="1"/>
            </w:r>
            <w:r w:rsidRPr="00D81AC4">
              <w:rPr>
                <w:rFonts w:ascii="Calibri" w:hAnsi="Calibri" w:cs="Calibri"/>
                <w:lang w:val="pl-PL"/>
              </w:rPr>
              <w:t xml:space="preserve">  </w:t>
            </w:r>
          </w:p>
        </w:tc>
        <w:tc>
          <w:tcPr>
            <w:tcW w:w="2500" w:type="pct"/>
          </w:tcPr>
          <w:p w14:paraId="45BD587C" w14:textId="77777777" w:rsidR="00D81AC4" w:rsidRPr="00D81AC4" w:rsidRDefault="00D81AC4" w:rsidP="00D81AC4">
            <w:pPr>
              <w:pStyle w:val="Akapitzlist"/>
              <w:numPr>
                <w:ilvl w:val="0"/>
                <w:numId w:val="3"/>
              </w:numPr>
              <w:spacing w:after="0" w:line="240" w:lineRule="auto"/>
              <w:ind w:left="251" w:hanging="284"/>
              <w:jc w:val="both"/>
              <w:rPr>
                <w:rFonts w:ascii="Calibri" w:hAnsi="Calibri" w:cs="Calibri"/>
                <w:lang w:val="en-US"/>
              </w:rPr>
            </w:pPr>
            <w:r w:rsidRPr="00D81AC4">
              <w:rPr>
                <w:rFonts w:ascii="Calibri" w:hAnsi="Calibri" w:cs="Calibri"/>
                <w:lang w:val="en-US"/>
              </w:rPr>
              <w:t>The Company is not a seller of electricity to end users, so it does not have data on energy consumption points, and it is not a party to contracts for the sale of electricity to end users. In view of the above, for factual reasons, the Company is unable to comply with the instructions of Article 20(1) of the Act of 20 May 2021.</w:t>
            </w:r>
            <w:r w:rsidRPr="00D81AC4">
              <w:rPr>
                <w:rStyle w:val="Odwoanieprzypisudolnego"/>
                <w:rFonts w:ascii="Calibri" w:hAnsi="Calibri" w:cs="Calibri"/>
                <w:lang w:val="pl-PL"/>
              </w:rPr>
              <w:footnoteReference w:id="2"/>
            </w:r>
            <w:r w:rsidRPr="00D81AC4">
              <w:rPr>
                <w:rFonts w:ascii="Calibri" w:hAnsi="Calibri" w:cs="Calibri"/>
                <w:lang w:val="en-US"/>
              </w:rPr>
              <w:t xml:space="preserve">.  </w:t>
            </w:r>
          </w:p>
        </w:tc>
      </w:tr>
      <w:tr w:rsidR="00D81AC4" w:rsidRPr="00D176B2" w14:paraId="29F78F8C" w14:textId="77777777" w:rsidTr="00D81AC4">
        <w:tc>
          <w:tcPr>
            <w:tcW w:w="2500" w:type="pct"/>
          </w:tcPr>
          <w:p w14:paraId="5333E846" w14:textId="77777777" w:rsidR="00D81AC4" w:rsidRPr="00D81AC4" w:rsidRDefault="00D81AC4" w:rsidP="00BB470D">
            <w:pPr>
              <w:spacing w:after="100" w:afterAutospacing="1"/>
              <w:jc w:val="both"/>
              <w:rPr>
                <w:rFonts w:ascii="Calibri" w:hAnsi="Calibri" w:cs="Calibri"/>
                <w:lang w:val="en-US"/>
              </w:rPr>
            </w:pPr>
          </w:p>
        </w:tc>
        <w:tc>
          <w:tcPr>
            <w:tcW w:w="2500" w:type="pct"/>
          </w:tcPr>
          <w:p w14:paraId="0962AF9B" w14:textId="77777777" w:rsidR="00D81AC4" w:rsidRPr="00D81AC4" w:rsidRDefault="00D81AC4" w:rsidP="00BB470D">
            <w:pPr>
              <w:spacing w:after="100" w:afterAutospacing="1"/>
              <w:jc w:val="both"/>
              <w:rPr>
                <w:rFonts w:ascii="Calibri" w:hAnsi="Calibri" w:cs="Calibri"/>
                <w:lang w:val="en-US"/>
              </w:rPr>
            </w:pPr>
          </w:p>
        </w:tc>
      </w:tr>
      <w:tr w:rsidR="00D81AC4" w:rsidRPr="00D176B2" w14:paraId="20047F79" w14:textId="77777777" w:rsidTr="00D81AC4">
        <w:trPr>
          <w:trHeight w:val="528"/>
        </w:trPr>
        <w:tc>
          <w:tcPr>
            <w:tcW w:w="2500" w:type="pct"/>
          </w:tcPr>
          <w:p w14:paraId="194AB738" w14:textId="77777777" w:rsidR="00D81AC4" w:rsidRPr="00D81AC4" w:rsidRDefault="00D81AC4" w:rsidP="00D81AC4">
            <w:pPr>
              <w:pStyle w:val="Akapitzlist"/>
              <w:numPr>
                <w:ilvl w:val="0"/>
                <w:numId w:val="1"/>
              </w:numPr>
              <w:spacing w:after="0" w:line="240" w:lineRule="auto"/>
              <w:ind w:left="449"/>
              <w:jc w:val="both"/>
              <w:rPr>
                <w:rFonts w:ascii="Calibri" w:hAnsi="Calibri" w:cs="Calibri"/>
                <w:lang w:val="pl-PL"/>
              </w:rPr>
            </w:pPr>
            <w:r w:rsidRPr="00D81AC4">
              <w:rPr>
                <w:rFonts w:ascii="Calibri" w:hAnsi="Calibri" w:cs="Calibri"/>
                <w:lang w:val="pl-PL"/>
              </w:rPr>
              <w:lastRenderedPageBreak/>
              <w:t xml:space="preserve">Spółka nie pełni funkcji Podmiotu odpowiedzialnego za bilansowanie (POB) oraz nie posiada własnej jednostki grafikowej. </w:t>
            </w:r>
          </w:p>
        </w:tc>
        <w:tc>
          <w:tcPr>
            <w:tcW w:w="2500" w:type="pct"/>
          </w:tcPr>
          <w:p w14:paraId="62638C26" w14:textId="77777777" w:rsidR="00D81AC4" w:rsidRPr="00D81AC4" w:rsidRDefault="00D81AC4" w:rsidP="00D81AC4">
            <w:pPr>
              <w:pStyle w:val="Akapitzlist"/>
              <w:numPr>
                <w:ilvl w:val="0"/>
                <w:numId w:val="3"/>
              </w:numPr>
              <w:spacing w:after="100" w:afterAutospacing="1" w:line="240" w:lineRule="auto"/>
              <w:ind w:left="251" w:hanging="284"/>
              <w:jc w:val="both"/>
              <w:rPr>
                <w:rFonts w:ascii="Calibri" w:hAnsi="Calibri" w:cs="Calibri"/>
                <w:lang w:val="en-US"/>
              </w:rPr>
            </w:pPr>
            <w:r w:rsidRPr="00D81AC4">
              <w:rPr>
                <w:rFonts w:ascii="Calibri" w:hAnsi="Calibri" w:cs="Calibri"/>
                <w:lang w:val="en-US"/>
              </w:rPr>
              <w:t>The Company does not act as the Entity Responsible for Balancing (POB) and does not have its own schedule unit.</w:t>
            </w:r>
          </w:p>
        </w:tc>
      </w:tr>
      <w:tr w:rsidR="00D81AC4" w:rsidRPr="00D176B2" w14:paraId="2906CA4E" w14:textId="77777777" w:rsidTr="00D81AC4">
        <w:tc>
          <w:tcPr>
            <w:tcW w:w="2500" w:type="pct"/>
          </w:tcPr>
          <w:p w14:paraId="679B0D7C" w14:textId="77777777" w:rsidR="00D81AC4" w:rsidRPr="00D81AC4" w:rsidRDefault="00D81AC4" w:rsidP="00BB470D">
            <w:pPr>
              <w:jc w:val="both"/>
              <w:rPr>
                <w:rFonts w:ascii="Calibri" w:hAnsi="Calibri" w:cs="Calibri"/>
                <w:lang w:val="en-US"/>
              </w:rPr>
            </w:pPr>
          </w:p>
        </w:tc>
        <w:tc>
          <w:tcPr>
            <w:tcW w:w="2500" w:type="pct"/>
          </w:tcPr>
          <w:p w14:paraId="426147A8" w14:textId="77777777" w:rsidR="00D81AC4" w:rsidRPr="00D81AC4" w:rsidRDefault="00D81AC4" w:rsidP="00BB470D">
            <w:pPr>
              <w:spacing w:after="100" w:afterAutospacing="1"/>
              <w:jc w:val="both"/>
              <w:rPr>
                <w:rFonts w:ascii="Calibri" w:hAnsi="Calibri" w:cs="Calibri"/>
                <w:lang w:val="en-US"/>
              </w:rPr>
            </w:pPr>
          </w:p>
        </w:tc>
      </w:tr>
      <w:tr w:rsidR="00D81AC4" w:rsidRPr="00D176B2" w14:paraId="18F6E87B" w14:textId="77777777" w:rsidTr="00D81AC4">
        <w:tc>
          <w:tcPr>
            <w:tcW w:w="2500" w:type="pct"/>
          </w:tcPr>
          <w:p w14:paraId="048BD6C0" w14:textId="77777777" w:rsidR="00D81AC4" w:rsidRPr="00D81AC4" w:rsidRDefault="00D81AC4" w:rsidP="00BB470D">
            <w:pPr>
              <w:jc w:val="both"/>
              <w:rPr>
                <w:rFonts w:ascii="Calibri" w:hAnsi="Calibri" w:cs="Calibri"/>
                <w:lang w:val="pl-PL"/>
              </w:rPr>
            </w:pPr>
            <w:r w:rsidRPr="00D81AC4">
              <w:rPr>
                <w:rFonts w:ascii="Calibri" w:hAnsi="Calibri" w:cs="Calibri"/>
                <w:lang w:val="pl-PL"/>
              </w:rPr>
              <w:t xml:space="preserve">Przepisy wprowadzające CSIRE nałożyły na sprzedawców energii elektrycznej oraz POB obowiązki związane z realizacją procesów rynku energii oraz wymiany informacji rynku energii, które dotyczą wyłącznie obrotu detalicznego. </w:t>
            </w:r>
          </w:p>
        </w:tc>
        <w:tc>
          <w:tcPr>
            <w:tcW w:w="2500" w:type="pct"/>
          </w:tcPr>
          <w:p w14:paraId="03BA3103" w14:textId="77777777" w:rsidR="00D81AC4" w:rsidRPr="00D81AC4" w:rsidRDefault="00D81AC4" w:rsidP="00BB470D">
            <w:pPr>
              <w:spacing w:after="100" w:afterAutospacing="1"/>
              <w:jc w:val="both"/>
              <w:rPr>
                <w:rFonts w:ascii="Calibri" w:hAnsi="Calibri" w:cs="Calibri"/>
                <w:lang w:val="en-US"/>
              </w:rPr>
            </w:pPr>
            <w:r w:rsidRPr="00D81AC4">
              <w:rPr>
                <w:rFonts w:ascii="Calibri" w:hAnsi="Calibri" w:cs="Calibri"/>
                <w:lang w:val="en-US"/>
              </w:rPr>
              <w:t xml:space="preserve">The regulations implementing the CSIRE imposed obligations on electricity sellers and POBs related to the implementation of energy market processes and the exchange of energy market information, which apply only to retail trade. </w:t>
            </w:r>
          </w:p>
        </w:tc>
      </w:tr>
      <w:tr w:rsidR="00D81AC4" w:rsidRPr="00D176B2" w14:paraId="65ADE76C" w14:textId="77777777" w:rsidTr="00D81AC4">
        <w:tc>
          <w:tcPr>
            <w:tcW w:w="2500" w:type="pct"/>
          </w:tcPr>
          <w:p w14:paraId="5341667D" w14:textId="77777777" w:rsidR="00D81AC4" w:rsidRPr="00D81AC4" w:rsidRDefault="00D81AC4" w:rsidP="00BB470D">
            <w:pPr>
              <w:jc w:val="both"/>
              <w:rPr>
                <w:rFonts w:ascii="Calibri" w:hAnsi="Calibri" w:cs="Calibri"/>
                <w:lang w:val="en-US"/>
              </w:rPr>
            </w:pPr>
          </w:p>
        </w:tc>
        <w:tc>
          <w:tcPr>
            <w:tcW w:w="2500" w:type="pct"/>
          </w:tcPr>
          <w:p w14:paraId="0F059EE8" w14:textId="77777777" w:rsidR="00D81AC4" w:rsidRPr="00D81AC4" w:rsidRDefault="00D81AC4" w:rsidP="00BB470D">
            <w:pPr>
              <w:spacing w:after="100" w:afterAutospacing="1"/>
              <w:jc w:val="both"/>
              <w:rPr>
                <w:rFonts w:ascii="Calibri" w:hAnsi="Calibri" w:cs="Calibri"/>
                <w:lang w:val="en-US"/>
              </w:rPr>
            </w:pPr>
          </w:p>
        </w:tc>
      </w:tr>
      <w:tr w:rsidR="00D81AC4" w:rsidRPr="00D176B2" w14:paraId="2C46D5BB" w14:textId="77777777" w:rsidTr="00D81AC4">
        <w:tc>
          <w:tcPr>
            <w:tcW w:w="2500" w:type="pct"/>
          </w:tcPr>
          <w:p w14:paraId="5B93FC77" w14:textId="77777777" w:rsidR="00D81AC4" w:rsidRPr="00D81AC4" w:rsidRDefault="00D81AC4" w:rsidP="00BB470D">
            <w:pPr>
              <w:jc w:val="both"/>
              <w:rPr>
                <w:rFonts w:ascii="Calibri" w:hAnsi="Calibri" w:cs="Calibri"/>
                <w:b/>
                <w:bCs/>
                <w:lang w:val="pl-PL"/>
              </w:rPr>
            </w:pPr>
            <w:r w:rsidRPr="00D81AC4">
              <w:rPr>
                <w:rFonts w:ascii="Calibri" w:hAnsi="Calibri" w:cs="Calibri"/>
                <w:b/>
                <w:bCs/>
                <w:lang w:val="pl-PL"/>
              </w:rPr>
              <w:t>W świetle opisanych powyżej okoliczności zwracamy się z uprzejmą prośbą o:</w:t>
            </w:r>
          </w:p>
          <w:p w14:paraId="57494017" w14:textId="77777777" w:rsidR="00D81AC4" w:rsidRPr="00D81AC4" w:rsidRDefault="00D81AC4" w:rsidP="00BB470D">
            <w:pPr>
              <w:jc w:val="both"/>
              <w:rPr>
                <w:rFonts w:ascii="Calibri" w:hAnsi="Calibri" w:cs="Calibri"/>
                <w:lang w:val="pl-PL"/>
              </w:rPr>
            </w:pPr>
          </w:p>
          <w:p w14:paraId="302C8A8C" w14:textId="77777777" w:rsidR="00D81AC4" w:rsidRPr="00D81AC4" w:rsidRDefault="00D81AC4" w:rsidP="00D81AC4">
            <w:pPr>
              <w:pStyle w:val="Akapitzlist"/>
              <w:numPr>
                <w:ilvl w:val="0"/>
                <w:numId w:val="2"/>
              </w:numPr>
              <w:spacing w:after="0" w:line="240" w:lineRule="auto"/>
              <w:ind w:left="457" w:hanging="283"/>
              <w:jc w:val="both"/>
              <w:rPr>
                <w:rFonts w:ascii="Calibri" w:hAnsi="Calibri" w:cs="Calibri"/>
                <w:lang w:val="pl-PL"/>
              </w:rPr>
            </w:pPr>
            <w:r w:rsidRPr="00D81AC4">
              <w:rPr>
                <w:rFonts w:ascii="Calibri" w:hAnsi="Calibri" w:cs="Calibri"/>
                <w:lang w:val="pl-PL"/>
              </w:rPr>
              <w:t>potwierdzenie, że Spółka nie ma obowiązku rejestracji w Portalu Obsługi Migracji (POM) oraz zawierania umowy CSIRE,</w:t>
            </w:r>
          </w:p>
          <w:p w14:paraId="37CBEEAF" w14:textId="77777777" w:rsidR="00D81AC4" w:rsidRPr="00D81AC4" w:rsidRDefault="00D81AC4" w:rsidP="00D81AC4">
            <w:pPr>
              <w:pStyle w:val="Akapitzlist"/>
              <w:numPr>
                <w:ilvl w:val="0"/>
                <w:numId w:val="2"/>
              </w:numPr>
              <w:spacing w:after="0" w:line="240" w:lineRule="auto"/>
              <w:ind w:left="457" w:hanging="283"/>
              <w:jc w:val="both"/>
              <w:rPr>
                <w:rFonts w:ascii="Calibri" w:hAnsi="Calibri" w:cs="Calibri"/>
                <w:lang w:val="pl-PL"/>
              </w:rPr>
            </w:pPr>
            <w:r w:rsidRPr="00D81AC4">
              <w:rPr>
                <w:rFonts w:ascii="Calibri" w:hAnsi="Calibri" w:cs="Calibri"/>
                <w:lang w:val="pl-PL"/>
              </w:rPr>
              <w:t>zwolnienie Spółki z obowiązku przedstawiania informacji dotyczących harmonogramu przystąpienia do rejestracji oraz przekazania danych oraz rozpoczęcia testów, w tym za okres od 02/2024 do 06/2025 do 11 dnia po zakończeniu każdego miesiąca.</w:t>
            </w:r>
          </w:p>
        </w:tc>
        <w:tc>
          <w:tcPr>
            <w:tcW w:w="2500" w:type="pct"/>
          </w:tcPr>
          <w:p w14:paraId="2590708A" w14:textId="77777777" w:rsidR="00D81AC4" w:rsidRPr="00D81AC4" w:rsidRDefault="00D81AC4" w:rsidP="00BB470D">
            <w:pPr>
              <w:jc w:val="both"/>
              <w:rPr>
                <w:rFonts w:ascii="Calibri" w:hAnsi="Calibri" w:cs="Calibri"/>
                <w:b/>
                <w:bCs/>
                <w:lang w:val="en-US"/>
              </w:rPr>
            </w:pPr>
            <w:r w:rsidRPr="00D81AC4">
              <w:rPr>
                <w:rFonts w:ascii="Calibri" w:hAnsi="Calibri" w:cs="Calibri"/>
                <w:b/>
                <w:bCs/>
                <w:lang w:val="en-US"/>
              </w:rPr>
              <w:t>In light of the circumstances described above, we kindly ask for:</w:t>
            </w:r>
          </w:p>
          <w:p w14:paraId="313A241E" w14:textId="77777777" w:rsidR="00D81AC4" w:rsidRPr="00D81AC4" w:rsidRDefault="00D81AC4" w:rsidP="00BB470D">
            <w:pPr>
              <w:jc w:val="both"/>
              <w:rPr>
                <w:rFonts w:ascii="Calibri" w:hAnsi="Calibri" w:cs="Calibri"/>
                <w:lang w:val="en-US"/>
              </w:rPr>
            </w:pPr>
          </w:p>
          <w:p w14:paraId="1E885F67" w14:textId="77777777" w:rsidR="00D81AC4" w:rsidRPr="00D81AC4" w:rsidRDefault="00D81AC4" w:rsidP="00D81AC4">
            <w:pPr>
              <w:pStyle w:val="Akapitzlist"/>
              <w:numPr>
                <w:ilvl w:val="0"/>
                <w:numId w:val="4"/>
              </w:numPr>
              <w:spacing w:after="0" w:line="240" w:lineRule="auto"/>
              <w:ind w:left="457" w:hanging="283"/>
              <w:jc w:val="both"/>
              <w:rPr>
                <w:rFonts w:ascii="Calibri" w:hAnsi="Calibri" w:cs="Calibri"/>
                <w:lang w:val="en-US"/>
              </w:rPr>
            </w:pPr>
            <w:r w:rsidRPr="00D81AC4">
              <w:rPr>
                <w:rFonts w:ascii="Calibri" w:hAnsi="Calibri" w:cs="Calibri"/>
                <w:lang w:val="en-US"/>
              </w:rPr>
              <w:t>confirmation that the Company is not obliged to register in the Migration Service Portal (POM) and to conclude a CSIRE agreement,</w:t>
            </w:r>
          </w:p>
          <w:p w14:paraId="70C0B759" w14:textId="77777777" w:rsidR="00D81AC4" w:rsidRPr="00D81AC4" w:rsidRDefault="00D81AC4" w:rsidP="00D81AC4">
            <w:pPr>
              <w:pStyle w:val="Akapitzlist"/>
              <w:numPr>
                <w:ilvl w:val="0"/>
                <w:numId w:val="4"/>
              </w:numPr>
              <w:spacing w:after="0" w:line="240" w:lineRule="auto"/>
              <w:ind w:left="457" w:hanging="283"/>
              <w:jc w:val="both"/>
              <w:rPr>
                <w:rFonts w:ascii="Calibri" w:hAnsi="Calibri" w:cs="Calibri"/>
                <w:lang w:val="en-US"/>
              </w:rPr>
            </w:pPr>
            <w:r w:rsidRPr="00D81AC4">
              <w:rPr>
                <w:rFonts w:ascii="Calibri" w:hAnsi="Calibri" w:cs="Calibri"/>
                <w:lang w:val="en-US"/>
              </w:rPr>
              <w:t>exemption of the Company from the obligation to provide information on the schedule of registration and submission of data and commencement of tests, including for the period from 02/2024 to 06/2025 until the 11th day after the end of each month.</w:t>
            </w:r>
          </w:p>
        </w:tc>
      </w:tr>
      <w:tr w:rsidR="00D81AC4" w:rsidRPr="00D176B2" w14:paraId="4E255085" w14:textId="77777777" w:rsidTr="00D81AC4">
        <w:tc>
          <w:tcPr>
            <w:tcW w:w="2500" w:type="pct"/>
          </w:tcPr>
          <w:p w14:paraId="34823F46" w14:textId="77777777" w:rsidR="00D81AC4" w:rsidRPr="00D81AC4" w:rsidRDefault="00D81AC4" w:rsidP="00BB470D">
            <w:pPr>
              <w:jc w:val="both"/>
              <w:rPr>
                <w:rFonts w:ascii="Calibri" w:hAnsi="Calibri" w:cs="Calibri"/>
                <w:lang w:val="en-US"/>
              </w:rPr>
            </w:pPr>
          </w:p>
        </w:tc>
        <w:tc>
          <w:tcPr>
            <w:tcW w:w="2500" w:type="pct"/>
          </w:tcPr>
          <w:p w14:paraId="03C24031" w14:textId="77777777" w:rsidR="00D81AC4" w:rsidRPr="00D81AC4" w:rsidRDefault="00D81AC4" w:rsidP="00BB470D">
            <w:pPr>
              <w:spacing w:after="100" w:afterAutospacing="1"/>
              <w:jc w:val="both"/>
              <w:rPr>
                <w:rFonts w:ascii="Calibri" w:hAnsi="Calibri" w:cs="Calibri"/>
                <w:lang w:val="en-US"/>
              </w:rPr>
            </w:pPr>
          </w:p>
        </w:tc>
      </w:tr>
      <w:tr w:rsidR="00D81AC4" w:rsidRPr="00D176B2" w14:paraId="461A1A2E" w14:textId="77777777" w:rsidTr="00D81AC4">
        <w:tc>
          <w:tcPr>
            <w:tcW w:w="2500" w:type="pct"/>
          </w:tcPr>
          <w:p w14:paraId="088EEB6A" w14:textId="77777777" w:rsidR="00D81AC4" w:rsidRPr="00D81AC4" w:rsidRDefault="00D81AC4" w:rsidP="00BB470D">
            <w:pPr>
              <w:jc w:val="both"/>
              <w:rPr>
                <w:rFonts w:ascii="Calibri" w:hAnsi="Calibri" w:cs="Calibri"/>
                <w:lang w:val="pl-PL"/>
              </w:rPr>
            </w:pPr>
            <w:r w:rsidRPr="00D81AC4">
              <w:rPr>
                <w:rFonts w:ascii="Calibri" w:hAnsi="Calibri" w:cs="Calibri"/>
                <w:lang w:val="pl-PL"/>
              </w:rPr>
              <w:t>Z ostrożności procesowej informujemy, że Spółka wystąpiła z wnioskiem o rejestrację w  POM, ze względu na ryzyko przyjęcia przez Prezesa URE odrębnej od przedstawionej powyżej interpretacji obowiązków Spółki względem CSIRE, względnie nałożenia administracyjnej kary pieniężnej.</w:t>
            </w:r>
          </w:p>
        </w:tc>
        <w:tc>
          <w:tcPr>
            <w:tcW w:w="2500" w:type="pct"/>
          </w:tcPr>
          <w:p w14:paraId="6DEA06F7" w14:textId="77777777" w:rsidR="00D81AC4" w:rsidRPr="00D81AC4" w:rsidRDefault="00D81AC4" w:rsidP="00BB470D">
            <w:pPr>
              <w:spacing w:after="100" w:afterAutospacing="1"/>
              <w:jc w:val="both"/>
              <w:rPr>
                <w:rFonts w:ascii="Calibri" w:hAnsi="Calibri" w:cs="Calibri"/>
                <w:lang w:val="en-US"/>
              </w:rPr>
            </w:pPr>
            <w:r w:rsidRPr="00D81AC4">
              <w:rPr>
                <w:rFonts w:ascii="Calibri" w:hAnsi="Calibri" w:cs="Calibri"/>
                <w:lang w:val="en-US"/>
              </w:rPr>
              <w:t>Out of procedural prudence, we would like to inform you that the Company has applied for registration in POM due to the risk that the President of ERO will adopt an interpretation of the Company's obligations towards CSIRE that is different from the one presented above, or that an administrative fine will be imposed.</w:t>
            </w:r>
          </w:p>
        </w:tc>
      </w:tr>
    </w:tbl>
    <w:p w14:paraId="726B38A4" w14:textId="77777777" w:rsidR="00D81AC4" w:rsidRPr="00D81AC4" w:rsidRDefault="00D81AC4" w:rsidP="00D81AC4">
      <w:pPr>
        <w:tabs>
          <w:tab w:val="left" w:pos="385"/>
        </w:tabs>
        <w:ind w:right="-2"/>
        <w:rPr>
          <w:rFonts w:ascii="Calibri" w:hAnsi="Calibri" w:cs="Calibri"/>
          <w:color w:val="122E38"/>
          <w:lang w:val="en-US"/>
        </w:rPr>
      </w:pPr>
    </w:p>
    <w:p w14:paraId="1668D4EE" w14:textId="77777777" w:rsidR="00D81AC4" w:rsidRPr="00D81AC4" w:rsidRDefault="00D81AC4" w:rsidP="00D81AC4">
      <w:pPr>
        <w:tabs>
          <w:tab w:val="left" w:pos="385"/>
        </w:tabs>
        <w:ind w:right="-2"/>
        <w:rPr>
          <w:rFonts w:ascii="Calibri" w:hAnsi="Calibri" w:cs="Calibri"/>
          <w:color w:val="122E38"/>
          <w:lang w:val="en-US"/>
        </w:rPr>
      </w:pPr>
    </w:p>
    <w:p w14:paraId="4EBD70EC" w14:textId="77777777" w:rsidR="00D81AC4" w:rsidRPr="00D81AC4" w:rsidRDefault="00D81AC4" w:rsidP="00D81AC4">
      <w:pPr>
        <w:rPr>
          <w:rFonts w:ascii="Calibri" w:hAnsi="Calibri" w:cs="Calibri"/>
          <w:lang w:val="en-US"/>
        </w:rPr>
      </w:pPr>
    </w:p>
    <w:p w14:paraId="4DBFEDCE" w14:textId="77777777" w:rsidR="00C601C4" w:rsidRPr="00D81AC4" w:rsidRDefault="00C601C4">
      <w:pPr>
        <w:rPr>
          <w:rFonts w:ascii="Calibri" w:hAnsi="Calibri" w:cs="Calibri"/>
          <w:lang w:val="en-US"/>
        </w:rPr>
      </w:pPr>
    </w:p>
    <w:sectPr w:rsidR="00C601C4" w:rsidRPr="00D81A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5FAD" w14:textId="77777777" w:rsidR="00D81AC4" w:rsidRDefault="00D81AC4" w:rsidP="00D81AC4">
      <w:pPr>
        <w:spacing w:after="0" w:line="240" w:lineRule="auto"/>
      </w:pPr>
      <w:r>
        <w:separator/>
      </w:r>
    </w:p>
  </w:endnote>
  <w:endnote w:type="continuationSeparator" w:id="0">
    <w:p w14:paraId="00D789FA" w14:textId="77777777" w:rsidR="00D81AC4" w:rsidRDefault="00D81AC4" w:rsidP="00D8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9AE5" w14:textId="77777777" w:rsidR="00D81AC4" w:rsidRDefault="00D81AC4" w:rsidP="00D81AC4">
      <w:pPr>
        <w:spacing w:after="0" w:line="240" w:lineRule="auto"/>
      </w:pPr>
      <w:r>
        <w:separator/>
      </w:r>
    </w:p>
  </w:footnote>
  <w:footnote w:type="continuationSeparator" w:id="0">
    <w:p w14:paraId="1AD1F60D" w14:textId="77777777" w:rsidR="00D81AC4" w:rsidRDefault="00D81AC4" w:rsidP="00D81AC4">
      <w:pPr>
        <w:spacing w:after="0" w:line="240" w:lineRule="auto"/>
      </w:pPr>
      <w:r>
        <w:continuationSeparator/>
      </w:r>
    </w:p>
  </w:footnote>
  <w:footnote w:id="1">
    <w:p w14:paraId="54A1EBFE" w14:textId="77777777" w:rsidR="00D81AC4" w:rsidRPr="0015423A" w:rsidRDefault="00D81AC4" w:rsidP="00D81AC4">
      <w:pPr>
        <w:pStyle w:val="Tekstprzypisudolnego"/>
        <w:jc w:val="both"/>
        <w:rPr>
          <w:sz w:val="16"/>
          <w:szCs w:val="16"/>
          <w:lang w:val="pl-PL"/>
        </w:rPr>
      </w:pPr>
      <w:r w:rsidRPr="0015423A">
        <w:rPr>
          <w:rStyle w:val="Odwoanieprzypisudolnego"/>
          <w:sz w:val="16"/>
          <w:szCs w:val="16"/>
        </w:rPr>
        <w:footnoteRef/>
      </w:r>
      <w:r w:rsidRPr="0015423A">
        <w:rPr>
          <w:sz w:val="16"/>
          <w:szCs w:val="16"/>
          <w:lang w:val="pl-PL"/>
        </w:rPr>
        <w:t xml:space="preserve"> Ustawa z dnia 20 maja 2021 r. o zmianie ustawy- Prawo energetyczne oraz niektórych innych ustaw. </w:t>
      </w:r>
    </w:p>
  </w:footnote>
  <w:footnote w:id="2">
    <w:p w14:paraId="62E75C71" w14:textId="77777777" w:rsidR="00D81AC4" w:rsidRPr="00293502" w:rsidRDefault="00D81AC4" w:rsidP="00D81AC4">
      <w:pPr>
        <w:pStyle w:val="Tekstprzypisudolnego"/>
        <w:jc w:val="both"/>
        <w:rPr>
          <w:sz w:val="16"/>
          <w:szCs w:val="16"/>
          <w:lang w:val="en-US"/>
        </w:rPr>
      </w:pPr>
      <w:r w:rsidRPr="0015423A">
        <w:rPr>
          <w:rStyle w:val="Odwoanieprzypisudolnego"/>
          <w:sz w:val="16"/>
          <w:szCs w:val="16"/>
        </w:rPr>
        <w:footnoteRef/>
      </w:r>
      <w:r w:rsidRPr="00293502">
        <w:rPr>
          <w:sz w:val="16"/>
          <w:szCs w:val="16"/>
          <w:lang w:val="en-US"/>
        </w:rPr>
        <w:t xml:space="preserve"> Act of 20 May 2021 Amending the Energy Law and Certain Other 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053AC"/>
    <w:multiLevelType w:val="hybridMultilevel"/>
    <w:tmpl w:val="C832BA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CB69AE"/>
    <w:multiLevelType w:val="hybridMultilevel"/>
    <w:tmpl w:val="EEC49E24"/>
    <w:lvl w:ilvl="0" w:tplc="6CD0DF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F6B80"/>
    <w:multiLevelType w:val="hybridMultilevel"/>
    <w:tmpl w:val="8506A29E"/>
    <w:lvl w:ilvl="0" w:tplc="F99C6CD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FD4680F"/>
    <w:multiLevelType w:val="hybridMultilevel"/>
    <w:tmpl w:val="C832BAFE"/>
    <w:lvl w:ilvl="0" w:tplc="CE58B68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56764870">
    <w:abstractNumId w:val="2"/>
  </w:num>
  <w:num w:numId="2" w16cid:durableId="1930001261">
    <w:abstractNumId w:val="3"/>
  </w:num>
  <w:num w:numId="3" w16cid:durableId="1637225569">
    <w:abstractNumId w:val="1"/>
  </w:num>
  <w:num w:numId="4" w16cid:durableId="88522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C4"/>
    <w:rsid w:val="00555778"/>
    <w:rsid w:val="00C601C4"/>
    <w:rsid w:val="00C90C73"/>
    <w:rsid w:val="00D176B2"/>
    <w:rsid w:val="00D81AC4"/>
    <w:rsid w:val="00DE7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8055"/>
  <w15:chartTrackingRefBased/>
  <w15:docId w15:val="{0C403D37-E367-4953-BD23-71CE9949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1AC4"/>
    <w:pPr>
      <w:spacing w:after="200" w:line="276" w:lineRule="auto"/>
    </w:pPr>
    <w:rPr>
      <w:kern w:val="0"/>
      <w:lang w:val="da-DK"/>
      <w14:ligatures w14:val="none"/>
    </w:rPr>
  </w:style>
  <w:style w:type="paragraph" w:styleId="Nagwek1">
    <w:name w:val="heading 1"/>
    <w:basedOn w:val="Normalny"/>
    <w:next w:val="Normalny"/>
    <w:link w:val="Nagwek1Znak"/>
    <w:uiPriority w:val="9"/>
    <w:qFormat/>
    <w:rsid w:val="00D81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1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1AC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1AC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1AC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1A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1A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1A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1A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1AC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1AC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1AC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1AC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1AC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1A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1A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1A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1AC4"/>
    <w:rPr>
      <w:rFonts w:eastAsiaTheme="majorEastAsia" w:cstheme="majorBidi"/>
      <w:color w:val="272727" w:themeColor="text1" w:themeTint="D8"/>
    </w:rPr>
  </w:style>
  <w:style w:type="paragraph" w:styleId="Tytu">
    <w:name w:val="Title"/>
    <w:basedOn w:val="Normalny"/>
    <w:next w:val="Normalny"/>
    <w:link w:val="TytuZnak"/>
    <w:uiPriority w:val="10"/>
    <w:qFormat/>
    <w:rsid w:val="00D81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1A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1A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1A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1AC4"/>
    <w:pPr>
      <w:spacing w:before="160"/>
      <w:jc w:val="center"/>
    </w:pPr>
    <w:rPr>
      <w:i/>
      <w:iCs/>
      <w:color w:val="404040" w:themeColor="text1" w:themeTint="BF"/>
    </w:rPr>
  </w:style>
  <w:style w:type="character" w:customStyle="1" w:styleId="CytatZnak">
    <w:name w:val="Cytat Znak"/>
    <w:basedOn w:val="Domylnaczcionkaakapitu"/>
    <w:link w:val="Cytat"/>
    <w:uiPriority w:val="29"/>
    <w:rsid w:val="00D81AC4"/>
    <w:rPr>
      <w:i/>
      <w:iCs/>
      <w:color w:val="404040" w:themeColor="text1" w:themeTint="BF"/>
    </w:rPr>
  </w:style>
  <w:style w:type="paragraph" w:styleId="Akapitzlist">
    <w:name w:val="List Paragraph"/>
    <w:basedOn w:val="Normalny"/>
    <w:uiPriority w:val="34"/>
    <w:qFormat/>
    <w:rsid w:val="00D81AC4"/>
    <w:pPr>
      <w:ind w:left="720"/>
      <w:contextualSpacing/>
    </w:pPr>
  </w:style>
  <w:style w:type="character" w:styleId="Wyrnienieintensywne">
    <w:name w:val="Intense Emphasis"/>
    <w:basedOn w:val="Domylnaczcionkaakapitu"/>
    <w:uiPriority w:val="21"/>
    <w:qFormat/>
    <w:rsid w:val="00D81AC4"/>
    <w:rPr>
      <w:i/>
      <w:iCs/>
      <w:color w:val="0F4761" w:themeColor="accent1" w:themeShade="BF"/>
    </w:rPr>
  </w:style>
  <w:style w:type="paragraph" w:styleId="Cytatintensywny">
    <w:name w:val="Intense Quote"/>
    <w:basedOn w:val="Normalny"/>
    <w:next w:val="Normalny"/>
    <w:link w:val="CytatintensywnyZnak"/>
    <w:uiPriority w:val="30"/>
    <w:qFormat/>
    <w:rsid w:val="00D81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1AC4"/>
    <w:rPr>
      <w:i/>
      <w:iCs/>
      <w:color w:val="0F4761" w:themeColor="accent1" w:themeShade="BF"/>
    </w:rPr>
  </w:style>
  <w:style w:type="character" w:styleId="Odwoanieintensywne">
    <w:name w:val="Intense Reference"/>
    <w:basedOn w:val="Domylnaczcionkaakapitu"/>
    <w:uiPriority w:val="32"/>
    <w:qFormat/>
    <w:rsid w:val="00D81AC4"/>
    <w:rPr>
      <w:b/>
      <w:bCs/>
      <w:smallCaps/>
      <w:color w:val="0F4761" w:themeColor="accent1" w:themeShade="BF"/>
      <w:spacing w:val="5"/>
    </w:rPr>
  </w:style>
  <w:style w:type="table" w:styleId="Tabela-Siatka">
    <w:name w:val="Table Grid"/>
    <w:basedOn w:val="Standardowy"/>
    <w:uiPriority w:val="59"/>
    <w:rsid w:val="00D81AC4"/>
    <w:pPr>
      <w:spacing w:after="0" w:line="240" w:lineRule="auto"/>
    </w:pPr>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81A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81AC4"/>
    <w:rPr>
      <w:kern w:val="0"/>
      <w:sz w:val="20"/>
      <w:szCs w:val="20"/>
      <w:lang w:val="da-DK"/>
      <w14:ligatures w14:val="none"/>
    </w:rPr>
  </w:style>
  <w:style w:type="character" w:styleId="Odwoanieprzypisudolnego">
    <w:name w:val="footnote reference"/>
    <w:basedOn w:val="Domylnaczcionkaakapitu"/>
    <w:uiPriority w:val="99"/>
    <w:semiHidden/>
    <w:unhideWhenUsed/>
    <w:rsid w:val="00D81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E68DB898501418E297CED9A0B2220" ma:contentTypeVersion="14" ma:contentTypeDescription="Utwórz nowy dokument." ma:contentTypeScope="" ma:versionID="87bd4acd10ba6339bb8ab03bc265d9f5">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125fea905df538a5f3fc396c667564a3"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12858-A766-4D42-A616-57E27565954D}"/>
</file>

<file path=customXml/itemProps2.xml><?xml version="1.0" encoding="utf-8"?>
<ds:datastoreItem xmlns:ds="http://schemas.openxmlformats.org/officeDocument/2006/customXml" ds:itemID="{A4A80C17-2CA8-401E-891A-E26ABA06EF74}"/>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3486</Characters>
  <Application>Microsoft Office Word</Application>
  <DocSecurity>0</DocSecurity>
  <Lines>29</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Potocki</dc:creator>
  <cp:keywords/>
  <dc:description/>
  <cp:lastModifiedBy>Mateusz Potocki</cp:lastModifiedBy>
  <cp:revision>2</cp:revision>
  <dcterms:created xsi:type="dcterms:W3CDTF">2024-02-13T14:15:00Z</dcterms:created>
  <dcterms:modified xsi:type="dcterms:W3CDTF">2024-02-13T14:20:00Z</dcterms:modified>
</cp:coreProperties>
</file>