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62190" w14:textId="07AF294B" w:rsidR="00E45613" w:rsidRDefault="00BB3953" w:rsidP="00E45613">
      <w:pPr>
        <w:jc w:val="center"/>
        <w:rPr>
          <w:rFonts w:ascii="Open Sans" w:hAnsi="Open Sans"/>
          <w:b/>
          <w:color w:val="4F81BD" w:themeColor="accent1"/>
          <w:sz w:val="28"/>
          <w:szCs w:val="28"/>
          <w:lang w:val="en-US"/>
        </w:rPr>
      </w:pPr>
      <w:r>
        <w:rPr>
          <w:rFonts w:ascii="Open Sans" w:hAnsi="Open Sans"/>
          <w:b/>
          <w:color w:val="4F81BD" w:themeColor="accent1"/>
          <w:sz w:val="28"/>
          <w:szCs w:val="28"/>
          <w:lang w:val="en-US"/>
        </w:rPr>
        <w:t xml:space="preserve">Convenience </w:t>
      </w:r>
      <w:r w:rsidR="00E45613" w:rsidRPr="00885833">
        <w:rPr>
          <w:rFonts w:ascii="Open Sans" w:hAnsi="Open Sans"/>
          <w:b/>
          <w:color w:val="4F81BD" w:themeColor="accent1"/>
          <w:sz w:val="28"/>
          <w:szCs w:val="28"/>
          <w:lang w:val="en-US"/>
        </w:rPr>
        <w:t>Translation for</w:t>
      </w:r>
    </w:p>
    <w:p w14:paraId="3959C15B" w14:textId="77777777" w:rsidR="00E45613" w:rsidRPr="00885833" w:rsidRDefault="00E45613" w:rsidP="00E45613">
      <w:pPr>
        <w:jc w:val="center"/>
        <w:rPr>
          <w:rFonts w:ascii="Open Sans" w:hAnsi="Open Sans"/>
          <w:b/>
          <w:color w:val="4F81BD" w:themeColor="accent1"/>
          <w:sz w:val="28"/>
          <w:szCs w:val="28"/>
          <w:lang w:val="en-US"/>
        </w:rPr>
      </w:pPr>
    </w:p>
    <w:p w14:paraId="453291E4" w14:textId="6BB59F08" w:rsidR="00E45613" w:rsidRDefault="00E45613" w:rsidP="00E45613">
      <w:pPr>
        <w:jc w:val="center"/>
        <w:rPr>
          <w:rFonts w:ascii="Open Sans" w:hAnsi="Open Sans"/>
          <w:b/>
          <w:color w:val="4F81BD" w:themeColor="accent1"/>
          <w:sz w:val="28"/>
          <w:szCs w:val="28"/>
          <w:lang w:val="en-US"/>
        </w:rPr>
      </w:pPr>
      <w:r w:rsidRPr="00885833">
        <w:rPr>
          <w:rFonts w:ascii="Open Sans" w:hAnsi="Open Sans"/>
          <w:b/>
          <w:color w:val="4F81BD" w:themeColor="accent1"/>
          <w:sz w:val="28"/>
          <w:szCs w:val="28"/>
          <w:lang w:val="en-US"/>
        </w:rPr>
        <w:t>Post-Market Entry Compliance Guide</w:t>
      </w:r>
    </w:p>
    <w:p w14:paraId="31A2E121" w14:textId="50A38621" w:rsidR="00E45613" w:rsidRDefault="00E45613" w:rsidP="00E45613">
      <w:pPr>
        <w:jc w:val="center"/>
        <w:rPr>
          <w:rFonts w:ascii="Open Sans" w:hAnsi="Open Sans"/>
          <w:b/>
          <w:color w:val="4F81BD" w:themeColor="accent1"/>
          <w:sz w:val="28"/>
          <w:szCs w:val="28"/>
          <w:lang w:val="en-US"/>
        </w:rPr>
      </w:pPr>
    </w:p>
    <w:p w14:paraId="42F3E8B7" w14:textId="7446B13B" w:rsidR="00E45613" w:rsidRDefault="00E45613" w:rsidP="00E45613">
      <w:pPr>
        <w:jc w:val="center"/>
        <w:rPr>
          <w:rFonts w:ascii="Open Sans" w:hAnsi="Open Sans"/>
          <w:b/>
          <w:color w:val="4F81BD" w:themeColor="accent1"/>
          <w:sz w:val="28"/>
          <w:szCs w:val="28"/>
          <w:lang w:val="en-US"/>
        </w:rPr>
      </w:pPr>
      <w:r>
        <w:rPr>
          <w:rFonts w:ascii="Open Sans" w:hAnsi="Open Sans"/>
          <w:b/>
          <w:color w:val="4F81BD" w:themeColor="accent1"/>
          <w:sz w:val="28"/>
          <w:szCs w:val="28"/>
          <w:lang w:val="en-US"/>
        </w:rPr>
        <w:t>France</w:t>
      </w:r>
    </w:p>
    <w:p w14:paraId="570A1A72" w14:textId="77777777" w:rsidR="00E45613" w:rsidRPr="00885833" w:rsidRDefault="00E45613" w:rsidP="00E45613">
      <w:pPr>
        <w:jc w:val="center"/>
        <w:rPr>
          <w:rFonts w:ascii="Open Sans" w:hAnsi="Open Sans"/>
          <w:b/>
          <w:color w:val="4F81BD" w:themeColor="accent1"/>
          <w:sz w:val="28"/>
          <w:szCs w:val="28"/>
          <w:lang w:val="en-US"/>
        </w:rPr>
      </w:pPr>
    </w:p>
    <w:tbl>
      <w:tblPr>
        <w:tblStyle w:val="TableGrid"/>
        <w:tblW w:w="0" w:type="auto"/>
        <w:tblCellMar>
          <w:top w:w="108" w:type="dxa"/>
          <w:bottom w:w="108" w:type="dxa"/>
        </w:tblCellMar>
        <w:tblLook w:val="04A0" w:firstRow="1" w:lastRow="0" w:firstColumn="1" w:lastColumn="0" w:noHBand="0" w:noVBand="1"/>
      </w:tblPr>
      <w:tblGrid>
        <w:gridCol w:w="8290"/>
      </w:tblGrid>
      <w:tr w:rsidR="00E45613" w14:paraId="459D5BEC" w14:textId="77777777" w:rsidTr="005157BB">
        <w:trPr>
          <w:trHeight w:val="1099"/>
        </w:trPr>
        <w:tc>
          <w:tcPr>
            <w:tcW w:w="8290" w:type="dxa"/>
            <w:shd w:val="clear" w:color="auto" w:fill="4F81BD" w:themeFill="accent1"/>
          </w:tcPr>
          <w:p w14:paraId="2CA5EB75" w14:textId="77777777" w:rsidR="00E45613" w:rsidRDefault="00E45613" w:rsidP="00BB3953">
            <w:pPr>
              <w:jc w:val="center"/>
              <w:rPr>
                <w:rFonts w:ascii="Open Sans" w:hAnsi="Open Sans"/>
                <w:b/>
                <w:color w:val="4F81BD" w:themeColor="accent1"/>
                <w:sz w:val="28"/>
                <w:szCs w:val="28"/>
                <w:lang w:val="en-US"/>
              </w:rPr>
            </w:pPr>
          </w:p>
          <w:p w14:paraId="5B4372F1" w14:textId="45D99A8C" w:rsidR="00E45613" w:rsidRDefault="0030012B" w:rsidP="00BB3953">
            <w:pPr>
              <w:jc w:val="center"/>
              <w:rPr>
                <w:rFonts w:ascii="Open Sans" w:hAnsi="Open Sans"/>
                <w:b/>
                <w:color w:val="4F81BD" w:themeColor="accent1"/>
                <w:sz w:val="28"/>
                <w:szCs w:val="28"/>
                <w:lang w:val="en-US"/>
              </w:rPr>
            </w:pPr>
            <w:r>
              <w:rPr>
                <w:rFonts w:ascii="Open Sans" w:hAnsi="Open Sans"/>
                <w:b/>
                <w:color w:val="FFFFFF" w:themeColor="background1"/>
                <w:sz w:val="28"/>
                <w:szCs w:val="28"/>
                <w:lang w:val="en-US"/>
              </w:rPr>
              <w:t>Gas and Electricity</w:t>
            </w:r>
          </w:p>
        </w:tc>
      </w:tr>
      <w:tr w:rsidR="00E45613" w14:paraId="5AD4A65F" w14:textId="77777777" w:rsidTr="005157BB">
        <w:trPr>
          <w:trHeight w:val="1223"/>
        </w:trPr>
        <w:tc>
          <w:tcPr>
            <w:tcW w:w="8290" w:type="dxa"/>
          </w:tcPr>
          <w:p w14:paraId="0ABA7510" w14:textId="77777777" w:rsidR="00933CAF" w:rsidRDefault="00933CAF" w:rsidP="00BB3953">
            <w:pPr>
              <w:rPr>
                <w:rFonts w:ascii="Open Sans" w:hAnsi="Open Sans" w:cs="Open Sans"/>
                <w:b/>
                <w:sz w:val="22"/>
                <w:szCs w:val="22"/>
                <w:lang w:val="en-US"/>
              </w:rPr>
            </w:pPr>
          </w:p>
          <w:p w14:paraId="40DC3471" w14:textId="2E29AB86" w:rsidR="00E45613" w:rsidRPr="00933CAF" w:rsidRDefault="00E45613" w:rsidP="00BB3953">
            <w:pPr>
              <w:rPr>
                <w:rFonts w:ascii="Open Sans" w:hAnsi="Open Sans"/>
                <w:b/>
                <w:color w:val="4F81BD" w:themeColor="accent1"/>
                <w:sz w:val="22"/>
                <w:szCs w:val="22"/>
                <w:lang w:val="en-US"/>
              </w:rPr>
            </w:pPr>
            <w:r w:rsidRPr="00933CAF">
              <w:rPr>
                <w:rFonts w:ascii="Open Sans" w:hAnsi="Open Sans" w:cs="Open Sans"/>
                <w:b/>
                <w:sz w:val="22"/>
                <w:szCs w:val="22"/>
                <w:lang w:val="en-US"/>
              </w:rPr>
              <w:t>PMECG-Reference to</w:t>
            </w:r>
            <w:r w:rsidR="001F185B" w:rsidRPr="00933CAF">
              <w:rPr>
                <w:rFonts w:ascii="Open Sans" w:hAnsi="Open Sans" w:cs="Open Sans"/>
                <w:b/>
                <w:sz w:val="22"/>
                <w:szCs w:val="22"/>
                <w:lang w:val="en-US"/>
              </w:rPr>
              <w:br/>
              <w:t>“Any other information upon the request of the NRA (supply agreements, transport / storage agreements, etc.)” (Row 31 Electricity - Row 42 Gas)</w:t>
            </w:r>
          </w:p>
        </w:tc>
      </w:tr>
      <w:tr w:rsidR="00E45613" w14:paraId="22A2A367" w14:textId="77777777" w:rsidTr="005157BB">
        <w:trPr>
          <w:trHeight w:val="828"/>
        </w:trPr>
        <w:tc>
          <w:tcPr>
            <w:tcW w:w="8290" w:type="dxa"/>
          </w:tcPr>
          <w:p w14:paraId="39EBC526" w14:textId="77777777" w:rsidR="005157BB" w:rsidRDefault="005157BB" w:rsidP="00BB3953">
            <w:pPr>
              <w:jc w:val="center"/>
              <w:rPr>
                <w:rFonts w:ascii="Open Sans" w:hAnsi="Open Sans" w:cs="Open Sans"/>
                <w:b/>
                <w:sz w:val="22"/>
                <w:szCs w:val="22"/>
              </w:rPr>
            </w:pPr>
          </w:p>
          <w:p w14:paraId="2AFF63C1" w14:textId="70C7BEB3" w:rsidR="00E45613" w:rsidRPr="00933CAF" w:rsidRDefault="00E45613" w:rsidP="00BB3953">
            <w:pPr>
              <w:jc w:val="center"/>
              <w:rPr>
                <w:rFonts w:ascii="Open Sans" w:hAnsi="Open Sans" w:cs="Open Sans"/>
                <w:b/>
                <w:color w:val="4F81BD" w:themeColor="accent1"/>
                <w:sz w:val="22"/>
                <w:szCs w:val="22"/>
                <w:lang w:val="en-US"/>
              </w:rPr>
            </w:pPr>
            <w:r w:rsidRPr="00933CAF">
              <w:rPr>
                <w:rFonts w:ascii="Open Sans" w:hAnsi="Open Sans" w:cs="Open Sans"/>
                <w:b/>
                <w:sz w:val="22"/>
                <w:szCs w:val="22"/>
              </w:rPr>
              <w:t>Article L134-18 Energy Code</w:t>
            </w:r>
          </w:p>
        </w:tc>
      </w:tr>
      <w:tr w:rsidR="00E45613" w14:paraId="075BFFBD" w14:textId="77777777" w:rsidTr="005157BB">
        <w:trPr>
          <w:trHeight w:val="977"/>
        </w:trPr>
        <w:tc>
          <w:tcPr>
            <w:tcW w:w="8290" w:type="dxa"/>
          </w:tcPr>
          <w:p w14:paraId="02D3AFAE" w14:textId="1616D650" w:rsidR="001F185B" w:rsidRPr="00BB3953" w:rsidRDefault="001F185B" w:rsidP="00BB3953">
            <w:pPr>
              <w:jc w:val="both"/>
              <w:rPr>
                <w:rFonts w:ascii="Open Sans" w:hAnsi="Open Sans" w:cs="Open Sans"/>
                <w:sz w:val="22"/>
                <w:szCs w:val="22"/>
                <w:lang w:val="fr-FR"/>
              </w:rPr>
            </w:pPr>
            <w:r w:rsidRPr="00BB3953">
              <w:rPr>
                <w:rFonts w:ascii="Open Sans" w:hAnsi="Open Sans" w:cs="Open Sans"/>
                <w:i/>
                <w:sz w:val="22"/>
                <w:szCs w:val="22"/>
                <w:lang w:val="fr-FR"/>
              </w:rPr>
              <w:t xml:space="preserve">Pour l'accomplissement des missions qui lui sont confiées, la Commission de régulation de l'énergie recueille toutes les informations nécessaires auprès des ministres chargés de l'économie, de l'environnement et de l'énergie, auprès des gestionnaires des réseaux publics de transport et de distribution d'électricité, des opérateurs des ouvrages de transport ou de distribution de gaz naturel et des exploitants des installations de gaz naturel liquéfié, des fournisseurs de consommateurs finals sur le territoire métropolitain continental bénéficiant de l'accès régulé à l'électricité nucléaire historique mentionné à </w:t>
            </w:r>
            <w:hyperlink r:id="rId4" w:history="1">
              <w:r w:rsidRPr="00BB3953">
                <w:rPr>
                  <w:rStyle w:val="Hyperlink"/>
                  <w:rFonts w:ascii="Open Sans" w:hAnsi="Open Sans" w:cs="Open Sans"/>
                  <w:i/>
                  <w:sz w:val="22"/>
                  <w:szCs w:val="22"/>
                  <w:lang w:val="fr-FR"/>
                </w:rPr>
                <w:t>l'article L. 336-1,</w:t>
              </w:r>
            </w:hyperlink>
            <w:r w:rsidRPr="00BB3953">
              <w:rPr>
                <w:rFonts w:ascii="Open Sans" w:hAnsi="Open Sans" w:cs="Open Sans"/>
                <w:i/>
                <w:sz w:val="22"/>
                <w:szCs w:val="22"/>
                <w:lang w:val="fr-FR"/>
              </w:rPr>
              <w:t xml:space="preserve"> des exploitants de réseaux de transport et de stockage géologique de dioxyde de carbone ainsi qu'auprès des autres entreprises intervenant sur le marché de l'électricité ou du gaz naturel ou du captage, transport et stockage géologique de dioxyde de carbone. Elle peut également entendre toute personne dont l'audition lui paraît susceptible de contribuer à son information.</w:t>
            </w:r>
          </w:p>
          <w:p w14:paraId="4DA6487A" w14:textId="052878E2" w:rsidR="001F185B" w:rsidRPr="00BB3953" w:rsidRDefault="001F185B" w:rsidP="00BB3953">
            <w:pPr>
              <w:jc w:val="both"/>
              <w:rPr>
                <w:rFonts w:ascii="Open Sans" w:hAnsi="Open Sans" w:cs="Open Sans"/>
                <w:i/>
                <w:sz w:val="22"/>
                <w:szCs w:val="22"/>
                <w:lang w:val="fr-FR"/>
              </w:rPr>
            </w:pPr>
            <w:r w:rsidRPr="00BB3953">
              <w:rPr>
                <w:rFonts w:ascii="Open Sans" w:hAnsi="Open Sans" w:cs="Open Sans"/>
                <w:i/>
                <w:sz w:val="22"/>
                <w:szCs w:val="22"/>
                <w:lang w:val="fr-FR"/>
              </w:rPr>
              <w:t>La Commission de régulation de l'énergie peut faire contrôler, aux frais des entreprises et dans une mesure proportionnée à l'objectif poursuivi et à la taille de l'entreprise concernée, les informations qu'elle recueille dans le cadre de ses missions.</w:t>
            </w:r>
          </w:p>
          <w:p w14:paraId="7CB223F4" w14:textId="77777777" w:rsidR="00FE0BF4" w:rsidRPr="00BB3953" w:rsidRDefault="00FE0BF4" w:rsidP="00BB3953">
            <w:pPr>
              <w:jc w:val="both"/>
              <w:rPr>
                <w:rFonts w:ascii="Open Sans" w:hAnsi="Open Sans" w:cs="Open Sans"/>
                <w:i/>
                <w:sz w:val="22"/>
                <w:szCs w:val="22"/>
                <w:lang w:val="fr-FR"/>
              </w:rPr>
            </w:pPr>
          </w:p>
          <w:p w14:paraId="0A5AF395" w14:textId="35023663" w:rsidR="001F185B" w:rsidRPr="001F185B" w:rsidRDefault="001F185B" w:rsidP="00BB3953">
            <w:pPr>
              <w:jc w:val="both"/>
              <w:rPr>
                <w:rFonts w:ascii="Open Sans" w:hAnsi="Open Sans" w:cs="Open Sans"/>
                <w:sz w:val="22"/>
                <w:szCs w:val="22"/>
              </w:rPr>
            </w:pPr>
            <w:r w:rsidRPr="001F185B">
              <w:rPr>
                <w:rFonts w:ascii="Open Sans" w:hAnsi="Open Sans" w:cs="Open Sans"/>
                <w:sz w:val="22"/>
                <w:szCs w:val="22"/>
              </w:rPr>
              <w:t xml:space="preserve">In order to carry out the tasks entrusted to it, the Energy Regulatory Commission collects all the necessary information from the ministers responsible for the economy, the environment and energy, from the electricity transmission and distribution system operators, from the natural transmission and distribution system operators and the operators of liquefied natural gas facilities, from end-user suppliers in the continental metropolitan area benefiting from regulated access to historical nuclear electricity referred to in Article L. 336-1, from </w:t>
            </w:r>
            <w:r w:rsidRPr="001F185B">
              <w:rPr>
                <w:rFonts w:ascii="Open Sans" w:hAnsi="Open Sans" w:cs="Open Sans"/>
                <w:sz w:val="22"/>
                <w:szCs w:val="22"/>
              </w:rPr>
              <w:lastRenderedPageBreak/>
              <w:t>network and geological storage operators of carbon dioxide and other undertakings involved in the electricity or natural gas market or in the capture, transport and geological storage of carbon dioxide. It may also interview any person whose hearing it considers likely to contribute to its information.</w:t>
            </w:r>
          </w:p>
          <w:p w14:paraId="54637A69" w14:textId="5E3F58CB" w:rsidR="00E45613" w:rsidRPr="001F185B" w:rsidRDefault="001F185B" w:rsidP="00BB3953">
            <w:pPr>
              <w:jc w:val="both"/>
              <w:rPr>
                <w:rFonts w:ascii="Open Sans" w:hAnsi="Open Sans" w:cs="Open Sans"/>
                <w:color w:val="4F81BD" w:themeColor="accent1"/>
                <w:sz w:val="22"/>
                <w:szCs w:val="22"/>
                <w:lang w:val="en-US"/>
              </w:rPr>
            </w:pPr>
            <w:r w:rsidRPr="001F185B">
              <w:rPr>
                <w:rFonts w:ascii="Open Sans" w:hAnsi="Open Sans" w:cs="Open Sans"/>
                <w:sz w:val="22"/>
                <w:szCs w:val="22"/>
              </w:rPr>
              <w:t>The Energy Regulatory Commission may, at the expense of the undertakings and to an extent commensurate with the objective pursued and the size of the undertaking concerned, have the information it collects audited.</w:t>
            </w:r>
          </w:p>
        </w:tc>
      </w:tr>
    </w:tbl>
    <w:p w14:paraId="5FF53A4C" w14:textId="3541721B" w:rsidR="00041AD4" w:rsidRPr="002F2614" w:rsidRDefault="00041AD4" w:rsidP="00C1122B">
      <w:bookmarkStart w:id="0" w:name="_GoBack"/>
      <w:bookmarkEnd w:id="0"/>
    </w:p>
    <w:sectPr w:rsidR="00041AD4" w:rsidRPr="002F2614" w:rsidSect="008137C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1B"/>
    <w:rsid w:val="00000049"/>
    <w:rsid w:val="00030D96"/>
    <w:rsid w:val="00041AD4"/>
    <w:rsid w:val="00064015"/>
    <w:rsid w:val="000A2759"/>
    <w:rsid w:val="00112859"/>
    <w:rsid w:val="0015447C"/>
    <w:rsid w:val="00173D60"/>
    <w:rsid w:val="001F185B"/>
    <w:rsid w:val="002A0653"/>
    <w:rsid w:val="002F2614"/>
    <w:rsid w:val="0030012B"/>
    <w:rsid w:val="00331D6B"/>
    <w:rsid w:val="003C3519"/>
    <w:rsid w:val="003D0A1B"/>
    <w:rsid w:val="004B6A2D"/>
    <w:rsid w:val="004D3FB4"/>
    <w:rsid w:val="005157BB"/>
    <w:rsid w:val="00560FF1"/>
    <w:rsid w:val="00613B2E"/>
    <w:rsid w:val="00630932"/>
    <w:rsid w:val="00751E4D"/>
    <w:rsid w:val="00804008"/>
    <w:rsid w:val="00812E11"/>
    <w:rsid w:val="008137CC"/>
    <w:rsid w:val="0092106B"/>
    <w:rsid w:val="00933CAF"/>
    <w:rsid w:val="009B70DD"/>
    <w:rsid w:val="00A034EA"/>
    <w:rsid w:val="00A21807"/>
    <w:rsid w:val="00A3354D"/>
    <w:rsid w:val="00A43CE1"/>
    <w:rsid w:val="00B11525"/>
    <w:rsid w:val="00BB3953"/>
    <w:rsid w:val="00BD1374"/>
    <w:rsid w:val="00C1122B"/>
    <w:rsid w:val="00C6722A"/>
    <w:rsid w:val="00D24403"/>
    <w:rsid w:val="00E45613"/>
    <w:rsid w:val="00EF3127"/>
    <w:rsid w:val="00FE0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A0D02"/>
  <w14:defaultImageDpi w14:val="300"/>
  <w15:docId w15:val="{7697A0C2-6B39-4F06-830E-4F2CD34B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60FF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A1B"/>
    <w:rPr>
      <w:color w:val="0000FF" w:themeColor="hyperlink"/>
      <w:u w:val="single"/>
    </w:rPr>
  </w:style>
  <w:style w:type="character" w:styleId="CommentReference">
    <w:name w:val="annotation reference"/>
    <w:basedOn w:val="DefaultParagraphFont"/>
    <w:uiPriority w:val="99"/>
    <w:semiHidden/>
    <w:unhideWhenUsed/>
    <w:rsid w:val="00000049"/>
    <w:rPr>
      <w:sz w:val="18"/>
      <w:szCs w:val="18"/>
    </w:rPr>
  </w:style>
  <w:style w:type="paragraph" w:styleId="CommentText">
    <w:name w:val="annotation text"/>
    <w:basedOn w:val="Normal"/>
    <w:link w:val="CommentTextChar"/>
    <w:uiPriority w:val="99"/>
    <w:semiHidden/>
    <w:unhideWhenUsed/>
    <w:rsid w:val="00000049"/>
  </w:style>
  <w:style w:type="character" w:customStyle="1" w:styleId="CommentTextChar">
    <w:name w:val="Comment Text Char"/>
    <w:basedOn w:val="DefaultParagraphFont"/>
    <w:link w:val="CommentText"/>
    <w:uiPriority w:val="99"/>
    <w:semiHidden/>
    <w:rsid w:val="00000049"/>
    <w:rPr>
      <w:lang w:val="en-GB"/>
    </w:rPr>
  </w:style>
  <w:style w:type="paragraph" w:styleId="CommentSubject">
    <w:name w:val="annotation subject"/>
    <w:basedOn w:val="CommentText"/>
    <w:next w:val="CommentText"/>
    <w:link w:val="CommentSubjectChar"/>
    <w:uiPriority w:val="99"/>
    <w:semiHidden/>
    <w:unhideWhenUsed/>
    <w:rsid w:val="00000049"/>
    <w:rPr>
      <w:b/>
      <w:bCs/>
      <w:sz w:val="20"/>
      <w:szCs w:val="20"/>
    </w:rPr>
  </w:style>
  <w:style w:type="character" w:customStyle="1" w:styleId="CommentSubjectChar">
    <w:name w:val="Comment Subject Char"/>
    <w:basedOn w:val="CommentTextChar"/>
    <w:link w:val="CommentSubject"/>
    <w:uiPriority w:val="99"/>
    <w:semiHidden/>
    <w:rsid w:val="00000049"/>
    <w:rPr>
      <w:b/>
      <w:bCs/>
      <w:sz w:val="20"/>
      <w:szCs w:val="20"/>
      <w:lang w:val="en-GB"/>
    </w:rPr>
  </w:style>
  <w:style w:type="paragraph" w:styleId="BalloonText">
    <w:name w:val="Balloon Text"/>
    <w:basedOn w:val="Normal"/>
    <w:link w:val="BalloonTextChar"/>
    <w:uiPriority w:val="99"/>
    <w:semiHidden/>
    <w:unhideWhenUsed/>
    <w:rsid w:val="000000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0049"/>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560FF1"/>
    <w:rPr>
      <w:rFonts w:asciiTheme="majorHAnsi" w:eastAsiaTheme="majorEastAsia" w:hAnsiTheme="majorHAnsi" w:cstheme="majorBidi"/>
      <w:color w:val="365F91" w:themeColor="accent1" w:themeShade="BF"/>
      <w:sz w:val="32"/>
      <w:szCs w:val="32"/>
      <w:lang w:val="en-GB"/>
    </w:rPr>
  </w:style>
  <w:style w:type="table" w:styleId="TableGrid">
    <w:name w:val="Table Grid"/>
    <w:basedOn w:val="TableNormal"/>
    <w:uiPriority w:val="59"/>
    <w:rsid w:val="00E45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affichCodeArticle.do?cidTexte=LEGITEXT000023983208&amp;idArticle=LEGIARTI000023986652&amp;dateTexte=&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Le Page</dc:creator>
  <cp:keywords/>
  <dc:description/>
  <cp:lastModifiedBy>David</cp:lastModifiedBy>
  <cp:revision>2</cp:revision>
  <dcterms:created xsi:type="dcterms:W3CDTF">2017-09-25T14:28:00Z</dcterms:created>
  <dcterms:modified xsi:type="dcterms:W3CDTF">2017-09-25T14:28:00Z</dcterms:modified>
</cp:coreProperties>
</file>